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22" w:rsidRPr="005A77FA" w:rsidRDefault="00456322" w:rsidP="003E1105">
      <w:pPr>
        <w:pStyle w:val="Heading3"/>
        <w:numPr>
          <w:ilvl w:val="2"/>
          <w:numId w:val="65"/>
        </w:numPr>
      </w:pPr>
      <w:r>
        <w:t>Neighbourhood centre zone</w:t>
      </w:r>
      <w:r w:rsidR="0039551F">
        <w:t xml:space="preserve"> code</w:t>
      </w:r>
    </w:p>
    <w:p w:rsidR="00456322" w:rsidRPr="005A77FA" w:rsidRDefault="00456322" w:rsidP="00456322">
      <w:pPr>
        <w:pStyle w:val="Heading4"/>
      </w:pPr>
      <w:r w:rsidRPr="005A77FA">
        <w:t>Application</w:t>
      </w:r>
    </w:p>
    <w:p w:rsidR="00456322" w:rsidRPr="004848FB" w:rsidRDefault="00456322" w:rsidP="004848FB">
      <w:pPr>
        <w:pStyle w:val="ListParagraph"/>
        <w:numPr>
          <w:ilvl w:val="0"/>
          <w:numId w:val="22"/>
        </w:numPr>
        <w:rPr>
          <w:rFonts w:cs="Arial"/>
          <w:szCs w:val="20"/>
        </w:rPr>
      </w:pPr>
      <w:r w:rsidRPr="004848FB">
        <w:rPr>
          <w:rFonts w:cs="Arial"/>
          <w:szCs w:val="20"/>
        </w:rPr>
        <w:t>This code applies t</w:t>
      </w:r>
      <w:r w:rsidR="00807029" w:rsidRPr="004848FB">
        <w:rPr>
          <w:rFonts w:cs="Arial"/>
          <w:szCs w:val="20"/>
        </w:rPr>
        <w:t xml:space="preserve">o assessing development in the </w:t>
      </w:r>
      <w:r w:rsidR="00FD69E7" w:rsidRPr="004848FB">
        <w:rPr>
          <w:rFonts w:cs="Arial"/>
          <w:szCs w:val="20"/>
        </w:rPr>
        <w:t xml:space="preserve">Neighbourhood </w:t>
      </w:r>
      <w:r w:rsidRPr="004848FB">
        <w:rPr>
          <w:rFonts w:cs="Arial"/>
          <w:szCs w:val="20"/>
        </w:rPr>
        <w:t>centre zone.</w:t>
      </w:r>
    </w:p>
    <w:p w:rsidR="00456322" w:rsidRPr="004848FB" w:rsidRDefault="00456322" w:rsidP="004848FB">
      <w:pPr>
        <w:pStyle w:val="ListParagraph"/>
        <w:ind w:left="567"/>
        <w:rPr>
          <w:rFonts w:cs="Arial"/>
          <w:szCs w:val="20"/>
        </w:rPr>
      </w:pPr>
    </w:p>
    <w:p w:rsidR="00456322" w:rsidRPr="004848FB" w:rsidRDefault="00456322" w:rsidP="004848FB">
      <w:pPr>
        <w:pStyle w:val="ListParagraph"/>
        <w:numPr>
          <w:ilvl w:val="0"/>
          <w:numId w:val="22"/>
        </w:numPr>
        <w:rPr>
          <w:rFonts w:cs="Arial"/>
          <w:szCs w:val="20"/>
        </w:rPr>
      </w:pPr>
      <w:r w:rsidRPr="004848FB">
        <w:rPr>
          <w:rFonts w:cs="Arial"/>
          <w:szCs w:val="20"/>
        </w:rPr>
        <w:t>When using this code, reference should be made to Part 5.</w:t>
      </w:r>
    </w:p>
    <w:p w:rsidR="00456322" w:rsidRPr="005A77FA" w:rsidRDefault="00456322" w:rsidP="00456322">
      <w:pPr>
        <w:pStyle w:val="Heading4"/>
      </w:pPr>
      <w:r w:rsidRPr="005A77FA">
        <w:t xml:space="preserve">Purpose </w:t>
      </w:r>
    </w:p>
    <w:p w:rsidR="00456322" w:rsidRDefault="00456322" w:rsidP="004848FB">
      <w:pPr>
        <w:pStyle w:val="ListParagraph"/>
        <w:numPr>
          <w:ilvl w:val="0"/>
          <w:numId w:val="52"/>
        </w:numPr>
        <w:rPr>
          <w:rFonts w:cs="Arial"/>
          <w:szCs w:val="20"/>
        </w:rPr>
      </w:pPr>
      <w:r w:rsidRPr="00456322">
        <w:rPr>
          <w:rFonts w:cs="Arial"/>
          <w:szCs w:val="20"/>
        </w:rPr>
        <w:t xml:space="preserve">The purpose of the </w:t>
      </w:r>
      <w:r w:rsidR="009151CC">
        <w:rPr>
          <w:rFonts w:cs="Arial"/>
          <w:szCs w:val="20"/>
        </w:rPr>
        <w:t>N</w:t>
      </w:r>
      <w:r w:rsidRPr="00456322">
        <w:rPr>
          <w:rFonts w:cs="Arial"/>
          <w:szCs w:val="20"/>
        </w:rPr>
        <w:t xml:space="preserve">eighbourhood centre zone code is to provide for a small mix of land uses to service </w:t>
      </w:r>
      <w:r w:rsidR="00F543AA">
        <w:rPr>
          <w:rFonts w:cs="Arial"/>
          <w:szCs w:val="20"/>
        </w:rPr>
        <w:t>residential neighbourhoods.</w:t>
      </w:r>
      <w:r w:rsidRPr="00456322">
        <w:rPr>
          <w:rFonts w:cs="Arial"/>
          <w:szCs w:val="20"/>
        </w:rPr>
        <w:t xml:space="preserve"> </w:t>
      </w:r>
    </w:p>
    <w:p w:rsidR="00456322" w:rsidRPr="00456322" w:rsidRDefault="00456322">
      <w:pPr>
        <w:pStyle w:val="ListParagraph"/>
        <w:ind w:left="567"/>
        <w:rPr>
          <w:rFonts w:cs="Arial"/>
          <w:szCs w:val="20"/>
        </w:rPr>
      </w:pPr>
    </w:p>
    <w:p w:rsidR="00456322" w:rsidRDefault="00456322">
      <w:pPr>
        <w:pStyle w:val="ListParagraph"/>
        <w:ind w:left="567"/>
        <w:rPr>
          <w:rFonts w:cs="Arial"/>
          <w:szCs w:val="20"/>
        </w:rPr>
      </w:pPr>
      <w:r w:rsidRPr="00456322">
        <w:rPr>
          <w:rFonts w:cs="Arial"/>
          <w:szCs w:val="20"/>
        </w:rPr>
        <w:t>It includes small</w:t>
      </w:r>
      <w:r w:rsidR="00F543AA">
        <w:rPr>
          <w:rFonts w:cs="Arial"/>
          <w:szCs w:val="20"/>
        </w:rPr>
        <w:t>-</w:t>
      </w:r>
      <w:r w:rsidRPr="00456322">
        <w:rPr>
          <w:rFonts w:cs="Arial"/>
          <w:szCs w:val="20"/>
        </w:rPr>
        <w:t xml:space="preserve">scale convenience shopping, professional offices, community services and other uses that directly support the immediate community. </w:t>
      </w:r>
    </w:p>
    <w:p w:rsidR="00456322" w:rsidRPr="00456322" w:rsidRDefault="00456322">
      <w:pPr>
        <w:pStyle w:val="ListParagraph"/>
        <w:ind w:left="567"/>
        <w:rPr>
          <w:rFonts w:cs="Arial"/>
          <w:szCs w:val="20"/>
        </w:rPr>
      </w:pPr>
    </w:p>
    <w:p w:rsidR="00456322" w:rsidRDefault="00131E26" w:rsidP="004848FB">
      <w:pPr>
        <w:pStyle w:val="ListParagraph"/>
        <w:numPr>
          <w:ilvl w:val="0"/>
          <w:numId w:val="52"/>
        </w:numPr>
        <w:rPr>
          <w:rFonts w:cs="Arial"/>
          <w:szCs w:val="20"/>
        </w:rPr>
      </w:pPr>
      <w:r w:rsidRPr="00131E26">
        <w:rPr>
          <w:rFonts w:cs="Arial"/>
          <w:szCs w:val="20"/>
        </w:rPr>
        <w:t>The local government purpose of the code is to ensure development is consistent with the identified role and function of Neighbourhood centres within the hierarchy of centres.</w:t>
      </w:r>
    </w:p>
    <w:p w:rsidR="00456322" w:rsidRPr="00456322" w:rsidRDefault="00456322">
      <w:pPr>
        <w:pStyle w:val="ListParagraph"/>
        <w:ind w:left="567"/>
        <w:rPr>
          <w:rFonts w:cs="Arial"/>
          <w:szCs w:val="20"/>
        </w:rPr>
      </w:pPr>
    </w:p>
    <w:p w:rsidR="00456322" w:rsidRPr="00456322" w:rsidRDefault="00456322" w:rsidP="004848FB">
      <w:pPr>
        <w:pStyle w:val="ListParagraph"/>
        <w:numPr>
          <w:ilvl w:val="0"/>
          <w:numId w:val="52"/>
        </w:numPr>
        <w:rPr>
          <w:rFonts w:cs="Arial"/>
          <w:szCs w:val="20"/>
        </w:rPr>
      </w:pPr>
      <w:r w:rsidRPr="00456322">
        <w:rPr>
          <w:rFonts w:cs="Arial"/>
          <w:szCs w:val="20"/>
        </w:rPr>
        <w:t>The purpose of the code will be achieved through the following overall outcomes:</w:t>
      </w:r>
    </w:p>
    <w:p w:rsidR="005E45C7" w:rsidRDefault="00131E26" w:rsidP="004848FB">
      <w:pPr>
        <w:pStyle w:val="ListParagraph"/>
        <w:widowControl w:val="0"/>
        <w:numPr>
          <w:ilvl w:val="1"/>
          <w:numId w:val="52"/>
        </w:numPr>
        <w:autoSpaceDE w:val="0"/>
        <w:autoSpaceDN w:val="0"/>
        <w:adjustRightInd w:val="0"/>
        <w:rPr>
          <w:rFonts w:cs="Arial"/>
          <w:szCs w:val="20"/>
        </w:rPr>
      </w:pPr>
      <w:r w:rsidRPr="00131E26">
        <w:rPr>
          <w:rFonts w:cs="Arial"/>
          <w:szCs w:val="20"/>
        </w:rPr>
        <w:t xml:space="preserve">a limited range of small scale convenience, retail or community facilities are provided that meet the basic, daily convenience needs of the surrounding neighbourhood and encourage walkable neighbourhoods; </w:t>
      </w:r>
    </w:p>
    <w:p w:rsidR="00456322" w:rsidRPr="00456322" w:rsidRDefault="00131E26" w:rsidP="004848FB">
      <w:pPr>
        <w:pStyle w:val="ListParagraph"/>
        <w:widowControl w:val="0"/>
        <w:numPr>
          <w:ilvl w:val="1"/>
          <w:numId w:val="52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131E26">
        <w:rPr>
          <w:rFonts w:cs="Arial"/>
          <w:szCs w:val="20"/>
        </w:rPr>
        <w:t xml:space="preserve">howrooms, department stores, supermarkets and other large floor space land uses are not located in Neighbourhood centres; </w:t>
      </w:r>
    </w:p>
    <w:p w:rsidR="00456322" w:rsidRPr="00456322" w:rsidRDefault="00CF36CC" w:rsidP="004848FB">
      <w:pPr>
        <w:pStyle w:val="ListParagraph"/>
        <w:widowControl w:val="0"/>
        <w:numPr>
          <w:ilvl w:val="1"/>
          <w:numId w:val="52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456322" w:rsidRPr="00456322">
        <w:rPr>
          <w:rFonts w:cs="Arial"/>
          <w:szCs w:val="20"/>
        </w:rPr>
        <w:t>evelopment provides a high level of amenity and reflects the surrounding character of the area;</w:t>
      </w:r>
    </w:p>
    <w:p w:rsidR="00456322" w:rsidRPr="00456322" w:rsidRDefault="00CF36CC" w:rsidP="004848FB">
      <w:pPr>
        <w:pStyle w:val="ListParagraph"/>
        <w:widowControl w:val="0"/>
        <w:numPr>
          <w:ilvl w:val="1"/>
          <w:numId w:val="52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</w:t>
      </w:r>
      <w:r w:rsidR="00456322" w:rsidRPr="00456322">
        <w:rPr>
          <w:rFonts w:cs="Arial"/>
          <w:color w:val="000000"/>
          <w:szCs w:val="20"/>
        </w:rPr>
        <w:t>evelopment contributes to vibrant, engaging and active neighbourhood centres that are safe comfortable and enjoyable for pedestrians;</w:t>
      </w:r>
    </w:p>
    <w:p w:rsidR="00131E26" w:rsidRPr="00131E26" w:rsidRDefault="00131E26" w:rsidP="004848FB">
      <w:pPr>
        <w:pStyle w:val="ListParagraph"/>
        <w:numPr>
          <w:ilvl w:val="1"/>
          <w:numId w:val="52"/>
        </w:numPr>
        <w:rPr>
          <w:rFonts w:cs="Arial"/>
          <w:color w:val="000000"/>
          <w:szCs w:val="20"/>
        </w:rPr>
      </w:pPr>
      <w:r w:rsidRPr="00131E26">
        <w:rPr>
          <w:rFonts w:cs="Arial"/>
          <w:color w:val="000000"/>
          <w:szCs w:val="20"/>
        </w:rPr>
        <w:t>development provides a high quality interface to adjoining premises and manages impacts on adjacent development through appropriate location, design, operation and management;</w:t>
      </w:r>
    </w:p>
    <w:p w:rsidR="00456322" w:rsidRPr="00456322" w:rsidRDefault="00CF36CC" w:rsidP="004848FB">
      <w:pPr>
        <w:pStyle w:val="ListParagraph"/>
        <w:widowControl w:val="0"/>
        <w:numPr>
          <w:ilvl w:val="1"/>
          <w:numId w:val="52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456322" w:rsidRPr="00456322">
        <w:rPr>
          <w:rFonts w:cs="Arial"/>
          <w:szCs w:val="20"/>
        </w:rPr>
        <w:t>evelopment has access to infras</w:t>
      </w:r>
      <w:r w:rsidR="00807029">
        <w:rPr>
          <w:rFonts w:cs="Arial"/>
          <w:szCs w:val="20"/>
        </w:rPr>
        <w:t>tructure and essential services;</w:t>
      </w:r>
    </w:p>
    <w:p w:rsidR="00131E26" w:rsidRPr="00131E26" w:rsidRDefault="00131E26" w:rsidP="004848FB">
      <w:pPr>
        <w:pStyle w:val="ListParagraph"/>
        <w:numPr>
          <w:ilvl w:val="1"/>
          <w:numId w:val="52"/>
        </w:numPr>
        <w:rPr>
          <w:rFonts w:cs="Arial"/>
          <w:szCs w:val="20"/>
        </w:rPr>
      </w:pPr>
      <w:r w:rsidRPr="00131E26">
        <w:rPr>
          <w:rFonts w:cs="Arial"/>
          <w:szCs w:val="20"/>
        </w:rPr>
        <w:t>development maximises public transport accessibility and use, and encourages walking and cycling;</w:t>
      </w:r>
    </w:p>
    <w:p w:rsidR="00456322" w:rsidRDefault="00CF36CC" w:rsidP="004848FB">
      <w:pPr>
        <w:pStyle w:val="ListParagraph"/>
        <w:widowControl w:val="0"/>
        <w:numPr>
          <w:ilvl w:val="1"/>
          <w:numId w:val="52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456322" w:rsidRPr="00456322">
        <w:rPr>
          <w:rFonts w:cs="Arial"/>
          <w:szCs w:val="20"/>
        </w:rPr>
        <w:t>evelopment does not compromise the hierarchy of centres</w:t>
      </w:r>
      <w:r w:rsidR="009902F8">
        <w:rPr>
          <w:rFonts w:cs="Arial"/>
          <w:szCs w:val="20"/>
        </w:rPr>
        <w:t>,</w:t>
      </w:r>
      <w:r w:rsidR="009902F8" w:rsidRPr="00C6538D">
        <w:rPr>
          <w:rFonts w:cs="Arial"/>
          <w:szCs w:val="20"/>
        </w:rPr>
        <w:t xml:space="preserve"> whether as a result of the impacts from</w:t>
      </w:r>
      <w:r w:rsidR="009902F8">
        <w:rPr>
          <w:rFonts w:cs="Arial"/>
          <w:szCs w:val="20"/>
        </w:rPr>
        <w:t xml:space="preserve"> an</w:t>
      </w:r>
      <w:r w:rsidR="009902F8" w:rsidRPr="00C6538D">
        <w:rPr>
          <w:rFonts w:cs="Arial"/>
          <w:szCs w:val="20"/>
        </w:rPr>
        <w:t xml:space="preserve"> individual </w:t>
      </w:r>
      <w:r w:rsidR="009902F8">
        <w:rPr>
          <w:rFonts w:cs="Arial"/>
          <w:szCs w:val="20"/>
        </w:rPr>
        <w:t xml:space="preserve">development </w:t>
      </w:r>
      <w:r w:rsidR="009902F8" w:rsidRPr="00C6538D">
        <w:rPr>
          <w:rFonts w:cs="Arial"/>
          <w:szCs w:val="20"/>
        </w:rPr>
        <w:t xml:space="preserve">or </w:t>
      </w:r>
      <w:r w:rsidR="009902F8">
        <w:rPr>
          <w:rFonts w:cs="Arial"/>
          <w:szCs w:val="20"/>
        </w:rPr>
        <w:t xml:space="preserve">the </w:t>
      </w:r>
      <w:r w:rsidR="009902F8" w:rsidRPr="00C6538D">
        <w:rPr>
          <w:rFonts w:cs="Arial"/>
          <w:szCs w:val="20"/>
        </w:rPr>
        <w:t xml:space="preserve">cumulative </w:t>
      </w:r>
      <w:r w:rsidR="009902F8">
        <w:rPr>
          <w:rFonts w:cs="Arial"/>
          <w:szCs w:val="20"/>
        </w:rPr>
        <w:t xml:space="preserve">impacts of multiple </w:t>
      </w:r>
      <w:r w:rsidR="009902F8" w:rsidRPr="00C6538D">
        <w:rPr>
          <w:rFonts w:cs="Arial"/>
          <w:szCs w:val="20"/>
        </w:rPr>
        <w:t>developments</w:t>
      </w:r>
      <w:r w:rsidR="00C22F59">
        <w:rPr>
          <w:rFonts w:cs="Arial"/>
          <w:szCs w:val="20"/>
        </w:rPr>
        <w:t>;</w:t>
      </w:r>
    </w:p>
    <w:p w:rsidR="00C22F59" w:rsidRDefault="00C22F59" w:rsidP="004848FB">
      <w:pPr>
        <w:pStyle w:val="ListParagraph"/>
        <w:numPr>
          <w:ilvl w:val="1"/>
          <w:numId w:val="52"/>
        </w:numPr>
        <w:spacing w:after="0"/>
        <w:rPr>
          <w:rFonts w:ascii="Arial" w:eastAsia="Times New Roman" w:hAnsi="Arial" w:cs="Arial"/>
          <w:szCs w:val="20"/>
        </w:rPr>
      </w:pPr>
      <w:r w:rsidRPr="00CD6253">
        <w:rPr>
          <w:rFonts w:ascii="Arial" w:eastAsia="Times New Roman" w:hAnsi="Arial" w:cs="Arial"/>
          <w:szCs w:val="20"/>
        </w:rPr>
        <w:t xml:space="preserve">development reflects and responds to the natural features and constraints of the land. </w:t>
      </w:r>
      <w:bookmarkStart w:id="0" w:name="_GoBack"/>
      <w:bookmarkEnd w:id="0"/>
    </w:p>
    <w:p w:rsidR="001450DA" w:rsidRDefault="001450DA" w:rsidP="001450DA">
      <w:pPr>
        <w:spacing w:after="0"/>
        <w:rPr>
          <w:rFonts w:ascii="Arial" w:eastAsia="Times New Roman" w:hAnsi="Arial" w:cs="Arial"/>
          <w:szCs w:val="20"/>
        </w:rPr>
      </w:pPr>
    </w:p>
    <w:p w:rsidR="001450DA" w:rsidRDefault="001450DA" w:rsidP="001450DA">
      <w:pPr>
        <w:spacing w:after="0"/>
        <w:rPr>
          <w:rFonts w:ascii="Arial" w:eastAsia="Times New Roman" w:hAnsi="Arial" w:cs="Arial"/>
          <w:szCs w:val="20"/>
        </w:rPr>
      </w:pPr>
    </w:p>
    <w:p w:rsidR="001450DA" w:rsidRDefault="001450DA" w:rsidP="001450DA">
      <w:pPr>
        <w:spacing w:after="0"/>
        <w:rPr>
          <w:rFonts w:ascii="Arial" w:eastAsia="Times New Roman" w:hAnsi="Arial" w:cs="Arial"/>
          <w:szCs w:val="20"/>
        </w:rPr>
      </w:pPr>
    </w:p>
    <w:p w:rsidR="001450DA" w:rsidRPr="001450DA" w:rsidRDefault="001450DA" w:rsidP="001450DA">
      <w:pPr>
        <w:spacing w:after="0"/>
        <w:rPr>
          <w:rFonts w:ascii="Arial" w:eastAsia="Times New Roman" w:hAnsi="Arial" w:cs="Arial"/>
          <w:szCs w:val="20"/>
        </w:rPr>
      </w:pPr>
    </w:p>
    <w:p w:rsidR="00456322" w:rsidRPr="005A77FA" w:rsidRDefault="00456322" w:rsidP="00456322">
      <w:pPr>
        <w:pStyle w:val="Heading4"/>
      </w:pPr>
      <w:bookmarkStart w:id="1" w:name="_Ref363545242"/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456322" w:rsidRPr="00BF128E" w:rsidRDefault="00456322" w:rsidP="00456322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456322" w:rsidRPr="005A77FA" w:rsidRDefault="00456322" w:rsidP="00456322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456322" w:rsidRPr="005A77FA" w:rsidRDefault="00456322" w:rsidP="00456322">
      <w:pPr>
        <w:pStyle w:val="Caption"/>
      </w:pPr>
      <w:r>
        <w:t>Table</w:t>
      </w:r>
      <w:r w:rsidR="00CC49BC">
        <w:t xml:space="preserve"> </w:t>
      </w:r>
      <w:r w:rsidR="00CC49BC">
        <w:fldChar w:fldCharType="begin"/>
      </w:r>
      <w:r w:rsidR="00CC49BC">
        <w:instrText xml:space="preserve"> REF _Ref363545242 \r \h </w:instrText>
      </w:r>
      <w:r w:rsidR="00CC49BC">
        <w:fldChar w:fldCharType="separate"/>
      </w:r>
      <w:r w:rsidR="00CF44F9">
        <w:t>6.2.15.3</w:t>
      </w:r>
      <w:r w:rsidR="00CC49BC">
        <w:fldChar w:fldCharType="end"/>
      </w:r>
      <w:r>
        <w:t>.a</w:t>
      </w:r>
      <w:r w:rsidRPr="005A77FA">
        <w:t xml:space="preserve"> </w:t>
      </w:r>
      <w:r>
        <w:t>–Neighbourhood centre</w:t>
      </w:r>
      <w:r w:rsidR="00C86856">
        <w:t xml:space="preserve"> zone 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3E1105" w:rsidRPr="005A77FA" w:rsidTr="003E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E1105" w:rsidRPr="005A77FA" w:rsidRDefault="003E1105" w:rsidP="003E1105">
            <w:pPr>
              <w:widowControl w:val="0"/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E1105" w:rsidRPr="005A77FA" w:rsidRDefault="003E1105" w:rsidP="003E110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E1105" w:rsidRPr="005A77FA" w:rsidRDefault="003E1105" w:rsidP="003E1105">
            <w:pPr>
              <w:widowControl w:val="0"/>
            </w:pPr>
            <w:r>
              <w:t>Applicant response</w:t>
            </w:r>
          </w:p>
        </w:tc>
      </w:tr>
      <w:tr w:rsidR="003E1105" w:rsidRPr="006F6F35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Pr="00621988" w:rsidRDefault="003E1105" w:rsidP="003E1105">
            <w:pPr>
              <w:widowControl w:val="0"/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assessable development </w:t>
            </w:r>
          </w:p>
        </w:tc>
      </w:tr>
      <w:tr w:rsidR="003E1105" w:rsidRPr="002C79EE" w:rsidTr="003E11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Default="003E1105" w:rsidP="003E1105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3E1105" w:rsidRPr="005A77FA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E1105" w:rsidRPr="00437222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  <w:r w:rsidRPr="00437222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1</w:t>
            </w:r>
          </w:p>
          <w:p w:rsidR="003E1105" w:rsidRDefault="003E1105" w:rsidP="003E1105">
            <w:pPr>
              <w:widowControl w:val="0"/>
              <w:rPr>
                <w:rFonts w:cs="Arial"/>
                <w:szCs w:val="20"/>
                <w:lang w:val="en-GB"/>
              </w:rPr>
            </w:pPr>
            <w:r w:rsidRPr="00D65438">
              <w:rPr>
                <w:rFonts w:cs="Arial"/>
                <w:szCs w:val="20"/>
                <w:lang w:val="en-GB"/>
              </w:rPr>
              <w:t xml:space="preserve">The height of all buildings </w:t>
            </w:r>
            <w:r>
              <w:rPr>
                <w:rFonts w:cs="Arial"/>
                <w:szCs w:val="20"/>
                <w:lang w:val="en-GB"/>
              </w:rPr>
              <w:t>is</w:t>
            </w:r>
            <w:r w:rsidRPr="00D65438">
              <w:rPr>
                <w:rFonts w:cs="Arial"/>
                <w:szCs w:val="20"/>
                <w:lang w:val="en-GB"/>
              </w:rPr>
              <w:t xml:space="preserve"> in keeping with the character of the surrounding residential neighbourhood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D65438">
              <w:rPr>
                <w:rFonts w:cs="Arial"/>
                <w:szCs w:val="20"/>
                <w:lang w:val="en-GB"/>
              </w:rPr>
              <w:t xml:space="preserve"> and </w:t>
            </w:r>
            <w:r>
              <w:rPr>
                <w:rFonts w:cs="Arial"/>
                <w:szCs w:val="20"/>
                <w:lang w:val="en-GB"/>
              </w:rPr>
              <w:t>does</w:t>
            </w:r>
            <w:r w:rsidRPr="00D65438">
              <w:rPr>
                <w:rFonts w:cs="Arial"/>
                <w:szCs w:val="20"/>
                <w:lang w:val="en-GB"/>
              </w:rPr>
              <w:t xml:space="preserve"> not adversely affect the amenity of the neighbourhood.</w:t>
            </w:r>
          </w:p>
          <w:p w:rsidR="003E1105" w:rsidRDefault="003E1105" w:rsidP="003E1105">
            <w:pPr>
              <w:widowControl w:val="0"/>
              <w:rPr>
                <w:rFonts w:cs="Arial"/>
                <w:szCs w:val="20"/>
                <w:lang w:val="en-GB"/>
              </w:rPr>
            </w:pPr>
          </w:p>
          <w:p w:rsidR="003E1105" w:rsidRDefault="003E1105" w:rsidP="003E1105">
            <w:pPr>
              <w:widowControl w:val="0"/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3E1105" w:rsidRDefault="003E1105" w:rsidP="003E1105">
            <w:pPr>
              <w:widowControl w:val="0"/>
              <w:rPr>
                <w:sz w:val="16"/>
                <w:szCs w:val="16"/>
              </w:rPr>
            </w:pPr>
          </w:p>
          <w:p w:rsidR="003E1105" w:rsidRPr="007A7319" w:rsidRDefault="003E1105" w:rsidP="003E1105">
            <w:pPr>
              <w:widowControl w:val="0"/>
              <w:rPr>
                <w:rFonts w:cs="Arial"/>
                <w:szCs w:val="20"/>
                <w:lang w:val="en-GB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in AO2.1 and the setbacks stated in AO3.1 correspond with the height stated in AO1.1.  Where a proposed development exceeds the height stated in AO1.1, the proposed development will also be assessed against PO2 and PO3.</w:t>
            </w:r>
          </w:p>
        </w:tc>
        <w:tc>
          <w:tcPr>
            <w:tcW w:w="1667" w:type="pct"/>
          </w:tcPr>
          <w:p w:rsidR="003E1105" w:rsidRPr="00437222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437222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1.1</w:t>
            </w:r>
          </w:p>
          <w:p w:rsidR="003E1105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Buildings and structure are not more than </w:t>
            </w:r>
            <w:r w:rsidRPr="00373389">
              <w:rPr>
                <w:rFonts w:cs="Arial"/>
                <w:szCs w:val="20"/>
                <w:lang w:val="en-GB"/>
              </w:rPr>
              <w:t xml:space="preserve">8.5 metres and </w:t>
            </w:r>
            <w:r>
              <w:rPr>
                <w:rFonts w:cs="Arial"/>
                <w:szCs w:val="20"/>
                <w:lang w:val="en-GB"/>
              </w:rPr>
              <w:t>2</w:t>
            </w:r>
            <w:r w:rsidRPr="00373389">
              <w:rPr>
                <w:rFonts w:cs="Arial"/>
                <w:szCs w:val="20"/>
                <w:lang w:val="en-GB"/>
              </w:rPr>
              <w:t xml:space="preserve"> storeys in height.</w:t>
            </w:r>
          </w:p>
          <w:p w:rsidR="003E1105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3E1105" w:rsidRPr="005A3A6F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– </w:t>
            </w:r>
            <w:r w:rsidRPr="006051A5">
              <w:rPr>
                <w:rFonts w:ascii="Arial" w:hAnsi="Arial" w:cs="Arial"/>
                <w:sz w:val="16"/>
                <w:szCs w:val="16"/>
              </w:rPr>
              <w:t>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Pr="00437222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3E1105" w:rsidRPr="002C79EE" w:rsidTr="003E11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Default="003E1105" w:rsidP="003E1105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3E1105" w:rsidRPr="005A77FA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E1105" w:rsidRPr="00437222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  <w:r w:rsidRPr="00437222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2</w:t>
            </w:r>
          </w:p>
          <w:p w:rsidR="003E1105" w:rsidRPr="00874496" w:rsidRDefault="003E1105" w:rsidP="003E1105">
            <w:pPr>
              <w:widowControl w:val="0"/>
              <w:rPr>
                <w:rFonts w:cs="Arial"/>
                <w:szCs w:val="20"/>
              </w:rPr>
            </w:pPr>
            <w:r w:rsidRPr="00D65438">
              <w:rPr>
                <w:rFonts w:cs="Arial"/>
                <w:szCs w:val="20"/>
                <w:lang w:val="en-GB"/>
              </w:rPr>
              <w:t>The site coverage ensure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D65438">
              <w:rPr>
                <w:rFonts w:cs="Arial"/>
                <w:szCs w:val="20"/>
                <w:lang w:val="en-GB"/>
              </w:rPr>
              <w:t xml:space="preserve"> that there is sufficient space for landscaping, access and the provision of services.</w:t>
            </w:r>
          </w:p>
        </w:tc>
        <w:tc>
          <w:tcPr>
            <w:tcW w:w="1667" w:type="pct"/>
          </w:tcPr>
          <w:p w:rsidR="003E1105" w:rsidRPr="00437222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437222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2.1</w:t>
            </w:r>
          </w:p>
          <w:p w:rsidR="003E1105" w:rsidRPr="005D38A5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D65438">
              <w:rPr>
                <w:rFonts w:cs="Arial"/>
                <w:szCs w:val="20"/>
                <w:lang w:val="en-GB"/>
              </w:rPr>
              <w:t xml:space="preserve">The site coverage </w:t>
            </w:r>
            <w:r>
              <w:rPr>
                <w:rFonts w:cs="Arial"/>
                <w:szCs w:val="20"/>
                <w:lang w:val="en-GB"/>
              </w:rPr>
              <w:t>is not more than</w:t>
            </w:r>
            <w:r w:rsidRPr="00D65438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5</w:t>
            </w:r>
            <w:r w:rsidRPr="00D65438">
              <w:rPr>
                <w:rFonts w:cs="Arial"/>
                <w:szCs w:val="20"/>
                <w:lang w:val="en-GB"/>
              </w:rPr>
              <w:t>0%.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Pr="00437222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3E1105" w:rsidRPr="002C79EE" w:rsidTr="003E11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Default="003E1105" w:rsidP="003E1105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3E1105" w:rsidRPr="005A77FA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3E1105" w:rsidRPr="009A2A39" w:rsidRDefault="003E1105" w:rsidP="003E1105">
            <w:pPr>
              <w:widowControl w:val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P</w:t>
            </w:r>
            <w:r w:rsidRPr="009A2A39">
              <w:rPr>
                <w:rFonts w:cs="Arial"/>
                <w:b/>
                <w:szCs w:val="20"/>
                <w:lang w:val="en-GB"/>
              </w:rPr>
              <w:t>O</w:t>
            </w:r>
            <w:r>
              <w:rPr>
                <w:rFonts w:cs="Arial"/>
                <w:b/>
                <w:szCs w:val="20"/>
                <w:lang w:val="en-GB"/>
              </w:rPr>
              <w:t>3</w:t>
            </w:r>
          </w:p>
          <w:p w:rsidR="003E1105" w:rsidRPr="00D65438" w:rsidRDefault="003E1105" w:rsidP="003E1105">
            <w:pPr>
              <w:widowControl w:val="0"/>
              <w:rPr>
                <w:rFonts w:eastAsiaTheme="minorEastAsia" w:cs="Arial"/>
                <w:szCs w:val="20"/>
                <w:lang w:val="en-GB" w:eastAsia="en-AU"/>
              </w:rPr>
            </w:pPr>
            <w:r w:rsidRPr="00D65438">
              <w:rPr>
                <w:rFonts w:cs="Arial"/>
                <w:szCs w:val="20"/>
                <w:lang w:val="en-GB"/>
              </w:rPr>
              <w:t>The siting of buildings contribute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D65438">
              <w:rPr>
                <w:rFonts w:cs="Arial"/>
                <w:szCs w:val="20"/>
                <w:lang w:val="en-GB"/>
              </w:rPr>
              <w:t xml:space="preserve"> to the desired amenity and character of the area and protect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D65438">
              <w:rPr>
                <w:rFonts w:cs="Arial"/>
                <w:szCs w:val="20"/>
                <w:lang w:val="en-GB"/>
              </w:rPr>
              <w:t xml:space="preserve"> the amenity of other land uses.</w:t>
            </w:r>
          </w:p>
        </w:tc>
        <w:tc>
          <w:tcPr>
            <w:tcW w:w="1667" w:type="pct"/>
          </w:tcPr>
          <w:p w:rsidR="003E1105" w:rsidRPr="009A2A39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9A2A39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3.1</w:t>
            </w:r>
          </w:p>
          <w:p w:rsidR="003E1105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Buildings are set back:</w:t>
            </w:r>
          </w:p>
          <w:p w:rsidR="003E1105" w:rsidRDefault="003E1105" w:rsidP="003E1105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  <w:t>0 metres from a street frontage boundary; or</w:t>
            </w:r>
          </w:p>
          <w:p w:rsidR="003E1105" w:rsidRDefault="003E1105" w:rsidP="003E1105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>not less than 3 metres from a street frontage boundary</w:t>
            </w:r>
          </w:p>
          <w:p w:rsidR="003E1105" w:rsidRDefault="003E1105" w:rsidP="003E1105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>not less than 3 metres from the side and rear boundaries; or</w:t>
            </w:r>
          </w:p>
          <w:p w:rsidR="003E1105" w:rsidRDefault="003E1105" w:rsidP="003E1105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(d)</w:t>
            </w:r>
            <w:r>
              <w:rPr>
                <w:rFonts w:cs="Arial"/>
                <w:szCs w:val="20"/>
                <w:lang w:val="en-GB"/>
              </w:rPr>
              <w:tab/>
              <w:t xml:space="preserve">0 metres from the side and rear boundaries </w:t>
            </w:r>
            <w:r>
              <w:rPr>
                <w:rFonts w:cs="Arial"/>
                <w:szCs w:val="20"/>
                <w:lang w:val="en-GB"/>
              </w:rPr>
              <w:lastRenderedPageBreak/>
              <w:t>where there is a common boundary with land in a Centre zone, the Mixed use zone or an Industry zone.</w:t>
            </w:r>
          </w:p>
          <w:p w:rsidR="003E1105" w:rsidRDefault="003E1105" w:rsidP="003E1105">
            <w:pPr>
              <w:widowControl w:val="0"/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3E1105" w:rsidRPr="00D65438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 w:val="16"/>
                <w:szCs w:val="16"/>
              </w:rPr>
              <w:t>Note – Refer to the definitions of Centre zone and Industry zone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Pr="009A2A39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3E1105" w:rsidRPr="005A77FA" w:rsidTr="003E11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3E1105" w:rsidRPr="00437222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3E1105" w:rsidRPr="009A2A39" w:rsidRDefault="003E1105" w:rsidP="003E11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A2A39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3.2</w:t>
            </w:r>
          </w:p>
          <w:p w:rsidR="003E1105" w:rsidRPr="00437222" w:rsidRDefault="003E1105" w:rsidP="003E11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Setback areas are clear of service equipment and storage areas, and landscaped in accordance with 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Pr="009A2A39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3E1105" w:rsidRPr="002C79EE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Default="003E1105" w:rsidP="003E1105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3E1105" w:rsidRPr="002C79EE" w:rsidTr="003E11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Default="003E1105" w:rsidP="003E1105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 xml:space="preserve">Uses and other development </w:t>
            </w:r>
          </w:p>
        </w:tc>
      </w:tr>
      <w:tr w:rsidR="003E1105" w:rsidRPr="005A77FA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E1105" w:rsidRPr="003D50E3" w:rsidRDefault="003E1105" w:rsidP="003E1105">
            <w:pPr>
              <w:widowContro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  <w:r w:rsidRPr="003D50E3">
              <w:rPr>
                <w:rFonts w:cs="Arial"/>
                <w:b/>
                <w:szCs w:val="20"/>
              </w:rPr>
              <w:t>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3E1105" w:rsidRPr="005A3A6F" w:rsidRDefault="003E1105" w:rsidP="003E1105">
            <w:pPr>
              <w:widowControl w:val="0"/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3E1105" w:rsidRPr="003D50E3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D50E3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3E1105" w:rsidRPr="005A3A6F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Pr="003D50E3" w:rsidRDefault="003E1105" w:rsidP="003E1105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  <w:tr w:rsidR="003E1105" w:rsidRPr="005A77FA" w:rsidTr="003E11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Default="003E1105" w:rsidP="003E1105">
            <w:pPr>
              <w:widowContro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Site constraints</w:t>
            </w:r>
          </w:p>
        </w:tc>
      </w:tr>
      <w:tr w:rsidR="003E1105" w:rsidRPr="005A77FA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E1105" w:rsidRPr="00FC5724" w:rsidRDefault="003E1105" w:rsidP="003E1105">
            <w:pPr>
              <w:widowControl w:val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3E1105" w:rsidRPr="00666E8C" w:rsidRDefault="003E1105" w:rsidP="003E1105">
            <w:pPr>
              <w:widowControl w:val="0"/>
            </w:pPr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3E1105" w:rsidRPr="00666E8C" w:rsidRDefault="003E1105" w:rsidP="003E1105">
            <w:pPr>
              <w:widowControl w:val="0"/>
            </w:pPr>
          </w:p>
          <w:p w:rsidR="003E1105" w:rsidRDefault="003E1105" w:rsidP="003E1105">
            <w:pPr>
              <w:widowControl w:val="0"/>
              <w:rPr>
                <w:rFonts w:cs="Arial"/>
                <w:b/>
                <w:szCs w:val="20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3E1105" w:rsidRPr="00FC5724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3E1105" w:rsidRPr="003D50E3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Pr="00FC5724" w:rsidRDefault="003E1105" w:rsidP="003E1105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  <w:tr w:rsidR="003E1105" w:rsidRPr="002C79EE" w:rsidTr="003E11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Default="003E1105" w:rsidP="003E1105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Role and function of Neighbourhood centres</w:t>
            </w:r>
          </w:p>
        </w:tc>
      </w:tr>
      <w:tr w:rsidR="003E1105" w:rsidRPr="005A77FA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3E1105" w:rsidRPr="003D50E3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  <w:r w:rsidRPr="003D50E3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6</w:t>
            </w:r>
          </w:p>
          <w:p w:rsidR="003E1105" w:rsidRPr="00131E26" w:rsidRDefault="003E1105" w:rsidP="003E1105">
            <w:pPr>
              <w:widowControl w:val="0"/>
              <w:rPr>
                <w:rFonts w:cs="Arial"/>
                <w:szCs w:val="20"/>
                <w:lang w:val="en-GB"/>
              </w:rPr>
            </w:pPr>
            <w:r w:rsidRPr="00131E26">
              <w:rPr>
                <w:rFonts w:cs="Arial"/>
                <w:szCs w:val="20"/>
                <w:lang w:val="en-GB"/>
              </w:rPr>
              <w:t>Development reinforces the role and function of Neighbourhood centres within the hierarchy of centres.</w:t>
            </w:r>
          </w:p>
          <w:p w:rsidR="003E1105" w:rsidRPr="00131E26" w:rsidRDefault="003E1105" w:rsidP="003E1105">
            <w:pPr>
              <w:widowControl w:val="0"/>
              <w:rPr>
                <w:rFonts w:cs="Arial"/>
                <w:szCs w:val="20"/>
                <w:lang w:val="en-GB"/>
              </w:rPr>
            </w:pPr>
          </w:p>
          <w:p w:rsidR="003E1105" w:rsidRPr="0051484C" w:rsidRDefault="003E1105" w:rsidP="003E1105">
            <w:pPr>
              <w:widowControl w:val="0"/>
              <w:spacing w:after="200"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51484C">
              <w:rPr>
                <w:rFonts w:cs="Arial"/>
                <w:sz w:val="16"/>
                <w:szCs w:val="16"/>
                <w:lang w:val="en-GB"/>
              </w:rPr>
              <w:t>Note – the role and function of the hierarchy of centres is described 3.3.2 Element – Centres and centre activities within Part 3 Strategic framework</w:t>
            </w:r>
          </w:p>
          <w:p w:rsidR="003E1105" w:rsidRPr="003D50E3" w:rsidRDefault="003E1105" w:rsidP="003E1105">
            <w:pPr>
              <w:widowControl w:val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A</w:t>
            </w:r>
            <w:r w:rsidRPr="0051484C">
              <w:rPr>
                <w:rFonts w:cs="Arial"/>
                <w:sz w:val="16"/>
                <w:szCs w:val="16"/>
                <w:lang w:val="en-GB"/>
              </w:rPr>
              <w:t xml:space="preserve"> Centre need and impact assessment may be required </w:t>
            </w:r>
            <w:r w:rsidRPr="0051484C">
              <w:rPr>
                <w:rFonts w:cs="Arial"/>
                <w:sz w:val="16"/>
                <w:szCs w:val="16"/>
                <w:lang w:val="en-GB"/>
              </w:rPr>
              <w:lastRenderedPageBreak/>
              <w:t>to demonstrate compliance with this performance outcome.</w:t>
            </w:r>
          </w:p>
        </w:tc>
        <w:tc>
          <w:tcPr>
            <w:tcW w:w="1667" w:type="pct"/>
          </w:tcPr>
          <w:p w:rsidR="003E1105" w:rsidRPr="003D50E3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3D50E3">
              <w:rPr>
                <w:rFonts w:cs="Arial"/>
                <w:b/>
                <w:szCs w:val="20"/>
                <w:lang w:val="en-GB"/>
              </w:rPr>
              <w:lastRenderedPageBreak/>
              <w:t>AO</w:t>
            </w:r>
            <w:r>
              <w:rPr>
                <w:rFonts w:cs="Arial"/>
                <w:b/>
                <w:szCs w:val="20"/>
                <w:lang w:val="en-GB"/>
              </w:rPr>
              <w:t>6.1</w:t>
            </w:r>
          </w:p>
          <w:p w:rsidR="003E1105" w:rsidRPr="00B0462F" w:rsidRDefault="003E1105" w:rsidP="003E11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131E26">
              <w:rPr>
                <w:rFonts w:cs="Arial"/>
                <w:szCs w:val="20"/>
                <w:lang w:val="en-GB"/>
              </w:rPr>
              <w:t>Development for a shop or Single tenancy within a Shopping centre does not exceed 200m</w:t>
            </w:r>
            <w:r w:rsidRPr="0051484C">
              <w:rPr>
                <w:rFonts w:cs="Arial"/>
                <w:szCs w:val="20"/>
                <w:vertAlign w:val="superscript"/>
                <w:lang w:val="en-GB"/>
              </w:rPr>
              <w:t>2</w:t>
            </w:r>
            <w:r w:rsidRPr="00131E26">
              <w:rPr>
                <w:rFonts w:cs="Arial"/>
                <w:szCs w:val="20"/>
                <w:lang w:val="en-GB"/>
              </w:rPr>
              <w:t xml:space="preserve"> GFA.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Pr="003D50E3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3E1105" w:rsidRPr="005A77FA" w:rsidTr="003E1105">
        <w:trPr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3E1105" w:rsidRPr="003D50E3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3E1105" w:rsidRPr="00D512A4" w:rsidRDefault="003E1105" w:rsidP="003E11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D512A4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6</w:t>
            </w:r>
            <w:r w:rsidRPr="00D512A4">
              <w:rPr>
                <w:rFonts w:cs="Arial"/>
                <w:b/>
                <w:szCs w:val="20"/>
                <w:lang w:val="en-GB"/>
              </w:rPr>
              <w:t>.</w:t>
            </w:r>
            <w:r>
              <w:rPr>
                <w:rFonts w:cs="Arial"/>
                <w:b/>
                <w:szCs w:val="20"/>
                <w:lang w:val="en-GB"/>
              </w:rPr>
              <w:t>2</w:t>
            </w:r>
          </w:p>
          <w:p w:rsidR="003E1105" w:rsidRPr="00D512A4" w:rsidRDefault="003E1105" w:rsidP="003E11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Showrooms, department stores and supermarkets are not established in the Neighbourhood centre zone.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Pr="00D512A4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3E1105" w:rsidRPr="002C79EE" w:rsidTr="003E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E1105" w:rsidRDefault="003E1105" w:rsidP="003E1105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Lot reconfiguration</w:t>
            </w:r>
          </w:p>
        </w:tc>
      </w:tr>
      <w:tr w:rsidR="003E1105" w:rsidRPr="005A77FA" w:rsidTr="003E11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E1105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PO7</w:t>
            </w:r>
          </w:p>
          <w:p w:rsidR="003E1105" w:rsidRDefault="003E1105" w:rsidP="003E1105">
            <w:pPr>
              <w:widowControl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Reconfiguration of land:</w:t>
            </w:r>
          </w:p>
          <w:p w:rsidR="003E1105" w:rsidRDefault="003E1105" w:rsidP="003E1105">
            <w:pPr>
              <w:widowControl w:val="0"/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  <w:t>results in a layout and size of lots that reinforces a fine grain of development with rectangular shaped lots and narrow frontages;</w:t>
            </w:r>
          </w:p>
          <w:p w:rsidR="003E1105" w:rsidRDefault="003E1105" w:rsidP="003E1105">
            <w:pPr>
              <w:widowControl w:val="0"/>
              <w:ind w:left="426" w:hanging="426"/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>ensures that new lots contain sufficient area to accommodate uses that are consistent with the purpose and overall outcomes of the zone.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:rsidR="003E1105" w:rsidRDefault="003E1105" w:rsidP="003E1105">
            <w:pPr>
              <w:widowControl w:val="0"/>
              <w:ind w:left="626" w:hanging="626"/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</w:p>
          <w:p w:rsidR="003E1105" w:rsidRPr="00100283" w:rsidRDefault="003E1105" w:rsidP="003E1105">
            <w:pPr>
              <w:widowControl w:val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</w:t>
            </w:r>
            <w:r w:rsidRPr="00195B39">
              <w:rPr>
                <w:rFonts w:cs="Arial"/>
                <w:sz w:val="16"/>
                <w:szCs w:val="16"/>
                <w:lang w:val="en-GB"/>
              </w:rPr>
              <w:t xml:space="preserve"> Planning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195B39">
              <w:rPr>
                <w:rFonts w:cs="Arial"/>
                <w:sz w:val="16"/>
                <w:szCs w:val="16"/>
                <w:lang w:val="en-GB"/>
              </w:rPr>
              <w:t xml:space="preserve">scheme policy – </w:t>
            </w:r>
            <w:r>
              <w:rPr>
                <w:rFonts w:cs="Arial"/>
                <w:sz w:val="16"/>
                <w:szCs w:val="16"/>
                <w:lang w:val="en-GB"/>
              </w:rPr>
              <w:t>Centres and centre activities</w:t>
            </w:r>
            <w:r w:rsidRPr="00195B39">
              <w:rPr>
                <w:rFonts w:cs="Arial"/>
                <w:sz w:val="16"/>
                <w:szCs w:val="16"/>
                <w:lang w:val="en-GB"/>
              </w:rPr>
              <w:t xml:space="preserve"> provides further guidance.</w:t>
            </w:r>
          </w:p>
        </w:tc>
        <w:tc>
          <w:tcPr>
            <w:tcW w:w="1667" w:type="pct"/>
          </w:tcPr>
          <w:p w:rsidR="003E1105" w:rsidRDefault="003E1105" w:rsidP="003E11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AO7.1</w:t>
            </w:r>
          </w:p>
          <w:p w:rsidR="003E1105" w:rsidRDefault="003E1105" w:rsidP="003E11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3E1105" w:rsidRDefault="003E1105" w:rsidP="003E11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3E1105" w:rsidRPr="00195B39" w:rsidRDefault="003E1105" w:rsidP="003E11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E1105" w:rsidRDefault="003E1105" w:rsidP="003E1105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2C4F93" w:rsidRDefault="002C4F93">
      <w:pPr>
        <w:rPr>
          <w:rFonts w:eastAsia="Times New Roman"/>
        </w:rPr>
      </w:pPr>
    </w:p>
    <w:sectPr w:rsidR="002C4F93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CF" w:rsidRDefault="00522FCF">
      <w:pPr>
        <w:spacing w:after="0" w:line="240" w:lineRule="auto"/>
      </w:pPr>
      <w:r>
        <w:separator/>
      </w:r>
    </w:p>
  </w:endnote>
  <w:endnote w:type="continuationSeparator" w:id="0">
    <w:p w:rsidR="00522FCF" w:rsidRDefault="0052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7B6216ED" wp14:editId="7D16782E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620D871A" wp14:editId="3C04DD2B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85627F" w:rsidRDefault="00107CB9" w:rsidP="0085627F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3E1105" w:rsidRPr="003E1105">
              <w:rPr>
                <w:color w:val="0064A7"/>
                <w:sz w:val="16"/>
                <w:szCs w:val="16"/>
              </w:rPr>
              <w:t>6.2.15</w:t>
            </w:r>
            <w:r w:rsidR="003E1105" w:rsidRPr="003E1105">
              <w:rPr>
                <w:color w:val="0064A7"/>
                <w:sz w:val="16"/>
                <w:szCs w:val="16"/>
              </w:rPr>
              <w:tab/>
            </w:r>
            <w:r w:rsidR="003E1105">
              <w:rPr>
                <w:color w:val="0064A7"/>
                <w:sz w:val="16"/>
                <w:szCs w:val="16"/>
              </w:rPr>
              <w:t xml:space="preserve"> </w:t>
            </w:r>
            <w:r w:rsidR="003E1105" w:rsidRPr="003E1105">
              <w:rPr>
                <w:color w:val="0064A7"/>
                <w:sz w:val="16"/>
                <w:szCs w:val="16"/>
              </w:rPr>
              <w:t>Neighbourhood centre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E0116A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</w:t>
            </w:r>
            <w:r w:rsidR="001450DA">
              <w:rPr>
                <w:color w:val="0064A7"/>
                <w:sz w:val="16"/>
                <w:szCs w:val="16"/>
              </w:rPr>
              <w:t xml:space="preserve">      </w:t>
            </w:r>
            <w:r w:rsidR="0085627F">
              <w:rPr>
                <w:color w:val="0064A7"/>
                <w:sz w:val="16"/>
                <w:szCs w:val="16"/>
              </w:rPr>
              <w:t>CairnsPlan 2016 Version 2.</w:t>
            </w:r>
            <w:r w:rsidR="00A45962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A45962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A45962">
              <w:rPr>
                <w:noProof/>
                <w:color w:val="0064A7"/>
                <w:sz w:val="16"/>
                <w:szCs w:val="16"/>
              </w:rPr>
              <w:t>4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CF" w:rsidRDefault="00522FCF">
      <w:pPr>
        <w:spacing w:after="0" w:line="240" w:lineRule="auto"/>
      </w:pPr>
      <w:r>
        <w:separator/>
      </w:r>
    </w:p>
  </w:footnote>
  <w:footnote w:type="continuationSeparator" w:id="0">
    <w:p w:rsidR="00522FCF" w:rsidRDefault="0052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6B9E6049" wp14:editId="35E0C123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0A5E35DB" wp14:editId="5B44D9BD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220CA0D8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450DA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105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2F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627F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5962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56F9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16A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DA1CC6"/>
  <w15:docId w15:val="{D6CEDCD4-9C87-4B37-A2BF-7FF700B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4D2212-B156-426F-A8C5-1C2FAAC8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2016-02-26T05:03:00Z</dcterms:created>
  <dcterms:modified xsi:type="dcterms:W3CDTF">2019-10-31T22:56:00Z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