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7D" w:rsidRPr="005A77FA" w:rsidRDefault="0057297D" w:rsidP="00760F40">
      <w:pPr>
        <w:pStyle w:val="Heading3"/>
      </w:pPr>
      <w:r>
        <w:t xml:space="preserve">Centre </w:t>
      </w:r>
      <w:r w:rsidR="00653137">
        <w:t>design</w:t>
      </w:r>
      <w:r>
        <w:t xml:space="preserve"> code</w:t>
      </w:r>
    </w:p>
    <w:p w:rsidR="0057297D" w:rsidRPr="00C70BC3" w:rsidRDefault="0057297D" w:rsidP="0057297D">
      <w:pPr>
        <w:pStyle w:val="Heading4"/>
        <w:ind w:left="851"/>
      </w:pPr>
      <w:r w:rsidRPr="00C70BC3">
        <w:t>Application</w:t>
      </w:r>
    </w:p>
    <w:p w:rsidR="00DA5A6F" w:rsidRDefault="0057297D" w:rsidP="00361621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>development</w:t>
      </w:r>
      <w:r w:rsidR="00DA5A6F">
        <w:rPr>
          <w:rFonts w:cs="Arial"/>
          <w:szCs w:val="20"/>
        </w:rPr>
        <w:t>:</w:t>
      </w:r>
    </w:p>
    <w:p w:rsidR="00DA5A6F" w:rsidRDefault="00DA5A6F" w:rsidP="0084004B">
      <w:pPr>
        <w:pStyle w:val="ListParagraph"/>
        <w:numPr>
          <w:ilvl w:val="1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for Centre activities;</w:t>
      </w:r>
      <w:r w:rsidR="00D408A4">
        <w:rPr>
          <w:rFonts w:cs="Arial"/>
          <w:szCs w:val="20"/>
        </w:rPr>
        <w:t xml:space="preserve"> or</w:t>
      </w:r>
    </w:p>
    <w:p w:rsidR="00DA5A6F" w:rsidRDefault="008778C4" w:rsidP="00D514B8">
      <w:pPr>
        <w:pStyle w:val="ListParagraph"/>
        <w:numPr>
          <w:ilvl w:val="1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located within </w:t>
      </w:r>
      <w:r w:rsidR="00E039A3">
        <w:rPr>
          <w:rFonts w:cs="Arial"/>
          <w:szCs w:val="20"/>
        </w:rPr>
        <w:t>a C</w:t>
      </w:r>
      <w:r w:rsidR="0019637F">
        <w:rPr>
          <w:rFonts w:cs="Arial"/>
          <w:szCs w:val="20"/>
        </w:rPr>
        <w:t>entre zone</w:t>
      </w:r>
      <w:r w:rsidR="00D514B8">
        <w:rPr>
          <w:rFonts w:cs="Arial"/>
          <w:szCs w:val="20"/>
        </w:rPr>
        <w:t>.</w:t>
      </w:r>
    </w:p>
    <w:p w:rsidR="0057297D" w:rsidRPr="00C3443E" w:rsidRDefault="0057297D" w:rsidP="0084004B">
      <w:pPr>
        <w:spacing w:after="0"/>
        <w:ind w:left="567"/>
        <w:rPr>
          <w:rFonts w:cs="Arial"/>
          <w:szCs w:val="20"/>
        </w:rPr>
      </w:pPr>
    </w:p>
    <w:p w:rsidR="0019637F" w:rsidRPr="003737C8" w:rsidRDefault="00596670" w:rsidP="0084004B">
      <w:pPr>
        <w:spacing w:after="0"/>
        <w:rPr>
          <w:rFonts w:cs="Arial"/>
          <w:sz w:val="16"/>
          <w:szCs w:val="16"/>
        </w:rPr>
      </w:pPr>
      <w:r w:rsidRPr="003737C8">
        <w:rPr>
          <w:rFonts w:cs="Arial"/>
          <w:sz w:val="16"/>
          <w:szCs w:val="16"/>
        </w:rPr>
        <w:t>Note – Refer to defined activity group for Centre activities contained in Schedule 1.</w:t>
      </w:r>
      <w:r w:rsidR="00EA3619" w:rsidRPr="003737C8">
        <w:rPr>
          <w:rFonts w:cs="Arial"/>
          <w:sz w:val="16"/>
          <w:szCs w:val="16"/>
        </w:rPr>
        <w:t>1</w:t>
      </w:r>
      <w:r w:rsidRPr="003737C8">
        <w:rPr>
          <w:rFonts w:cs="Arial"/>
          <w:sz w:val="16"/>
          <w:szCs w:val="16"/>
        </w:rPr>
        <w:t>.</w:t>
      </w:r>
      <w:r w:rsidR="00EA3619" w:rsidRPr="003737C8">
        <w:rPr>
          <w:rFonts w:cs="Arial"/>
          <w:sz w:val="16"/>
          <w:szCs w:val="16"/>
        </w:rPr>
        <w:t>1.</w:t>
      </w:r>
    </w:p>
    <w:p w:rsidR="003737C8" w:rsidRPr="003737C8" w:rsidRDefault="003737C8" w:rsidP="0084004B">
      <w:pPr>
        <w:spacing w:after="0"/>
        <w:rPr>
          <w:rFonts w:cs="Arial"/>
          <w:sz w:val="16"/>
          <w:szCs w:val="16"/>
        </w:rPr>
      </w:pPr>
    </w:p>
    <w:p w:rsidR="0019637F" w:rsidRPr="003737C8" w:rsidRDefault="0019637F" w:rsidP="0084004B">
      <w:pPr>
        <w:spacing w:after="0"/>
        <w:rPr>
          <w:rFonts w:cs="Arial"/>
          <w:sz w:val="16"/>
          <w:szCs w:val="16"/>
        </w:rPr>
      </w:pPr>
      <w:r w:rsidRPr="003737C8">
        <w:rPr>
          <w:rFonts w:cs="Arial"/>
          <w:sz w:val="16"/>
          <w:szCs w:val="16"/>
        </w:rPr>
        <w:t>Note – Refer to the definition of Centr</w:t>
      </w:r>
      <w:r w:rsidR="00EA3619" w:rsidRPr="003737C8">
        <w:rPr>
          <w:rFonts w:cs="Arial"/>
          <w:sz w:val="16"/>
          <w:szCs w:val="16"/>
        </w:rPr>
        <w:t>e zone contained in Schedule 1.2</w:t>
      </w:r>
    </w:p>
    <w:p w:rsidR="003737C8" w:rsidRPr="003737C8" w:rsidRDefault="003737C8" w:rsidP="0084004B">
      <w:pPr>
        <w:spacing w:after="0"/>
        <w:rPr>
          <w:rFonts w:cs="Arial"/>
          <w:sz w:val="16"/>
          <w:szCs w:val="16"/>
        </w:rPr>
      </w:pPr>
    </w:p>
    <w:p w:rsidR="00D514B8" w:rsidRPr="003737C8" w:rsidRDefault="00D514B8" w:rsidP="0084004B">
      <w:pPr>
        <w:spacing w:after="0"/>
        <w:rPr>
          <w:rFonts w:cs="Arial"/>
          <w:sz w:val="16"/>
          <w:szCs w:val="16"/>
        </w:rPr>
      </w:pPr>
      <w:r w:rsidRPr="003737C8">
        <w:rPr>
          <w:rFonts w:cs="Arial"/>
          <w:sz w:val="16"/>
          <w:szCs w:val="16"/>
        </w:rPr>
        <w:t xml:space="preserve">Note – Structure planning involving development for centre activities considers and incorporates the outcomes of this code. </w:t>
      </w:r>
    </w:p>
    <w:p w:rsidR="0019637F" w:rsidRPr="0084004B" w:rsidRDefault="0019637F" w:rsidP="0084004B">
      <w:pPr>
        <w:spacing w:after="0"/>
        <w:rPr>
          <w:rFonts w:cs="Arial"/>
          <w:sz w:val="16"/>
          <w:szCs w:val="16"/>
        </w:rPr>
      </w:pPr>
    </w:p>
    <w:p w:rsidR="0057297D" w:rsidRPr="00CC6406" w:rsidRDefault="0057297D" w:rsidP="00361621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57297D" w:rsidRPr="005A77FA" w:rsidRDefault="0057297D" w:rsidP="0057297D">
      <w:pPr>
        <w:pStyle w:val="Heading4"/>
        <w:ind w:left="851"/>
      </w:pPr>
      <w:r w:rsidRPr="005A77FA">
        <w:t xml:space="preserve">Purpose </w:t>
      </w:r>
    </w:p>
    <w:p w:rsidR="0057297D" w:rsidRPr="002C65A8" w:rsidRDefault="0057297D" w:rsidP="00361621">
      <w:pPr>
        <w:numPr>
          <w:ilvl w:val="0"/>
          <w:numId w:val="213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bookmarkStart w:id="0" w:name="_Ref364080138"/>
      <w:r w:rsidRPr="00203C3E">
        <w:rPr>
          <w:rFonts w:cs="Arial"/>
          <w:szCs w:val="20"/>
        </w:rPr>
        <w:t xml:space="preserve">The purpose of the </w:t>
      </w:r>
      <w:r>
        <w:rPr>
          <w:rFonts w:cs="Arial"/>
          <w:szCs w:val="20"/>
        </w:rPr>
        <w:t>C</w:t>
      </w:r>
      <w:r w:rsidRPr="00203C3E">
        <w:rPr>
          <w:rFonts w:cs="Arial"/>
          <w:szCs w:val="20"/>
        </w:rPr>
        <w:t xml:space="preserve">entre </w:t>
      </w:r>
      <w:r w:rsidR="00653137">
        <w:rPr>
          <w:rFonts w:cs="Arial"/>
          <w:szCs w:val="20"/>
        </w:rPr>
        <w:t>design</w:t>
      </w:r>
      <w:r w:rsidRPr="00203C3E">
        <w:rPr>
          <w:rFonts w:cs="Arial"/>
          <w:szCs w:val="20"/>
        </w:rPr>
        <w:t xml:space="preserve"> code is to ensure centre activities</w:t>
      </w:r>
      <w:r w:rsidR="00653137">
        <w:rPr>
          <w:rFonts w:cs="Arial"/>
          <w:szCs w:val="20"/>
        </w:rPr>
        <w:t xml:space="preserve"> and activity centres</w:t>
      </w:r>
      <w:r w:rsidRPr="00203C3E">
        <w:rPr>
          <w:rFonts w:cs="Arial"/>
          <w:szCs w:val="20"/>
        </w:rPr>
        <w:t>:</w:t>
      </w:r>
    </w:p>
    <w:p w:rsidR="0057297D" w:rsidRPr="009739CF" w:rsidRDefault="00001EDE" w:rsidP="00361621">
      <w:pPr>
        <w:pStyle w:val="ListParagraph"/>
        <w:numPr>
          <w:ilvl w:val="1"/>
          <w:numId w:val="213"/>
        </w:num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a</w:t>
      </w:r>
      <w:r w:rsidR="0057297D" w:rsidRPr="009739CF">
        <w:rPr>
          <w:rFonts w:ascii="ArialMT" w:hAnsi="ArialMT" w:cs="ArialMT"/>
          <w:szCs w:val="20"/>
        </w:rPr>
        <w:t>re developed to support community need and reinforce the hierarchy of activity centres;</w:t>
      </w:r>
    </w:p>
    <w:p w:rsidR="0057297D" w:rsidRPr="009739CF" w:rsidRDefault="00001EDE" w:rsidP="00361621">
      <w:pPr>
        <w:pStyle w:val="ListParagraph"/>
        <w:numPr>
          <w:ilvl w:val="1"/>
          <w:numId w:val="213"/>
        </w:num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a</w:t>
      </w:r>
      <w:r w:rsidR="0057297D" w:rsidRPr="009739CF">
        <w:rPr>
          <w:rFonts w:ascii="ArialMT" w:hAnsi="ArialMT" w:cs="ArialMT"/>
          <w:szCs w:val="20"/>
        </w:rPr>
        <w:t>re of a high quality design and appropriately respond to local character, environment and amenity considerations.</w:t>
      </w:r>
    </w:p>
    <w:p w:rsidR="0057297D" w:rsidRDefault="0057297D" w:rsidP="00361621">
      <w:pPr>
        <w:numPr>
          <w:ilvl w:val="0"/>
          <w:numId w:val="213"/>
        </w:numPr>
        <w:spacing w:after="0"/>
        <w:rPr>
          <w:rFonts w:cs="Arial"/>
          <w:szCs w:val="20"/>
        </w:rPr>
      </w:pPr>
      <w:r w:rsidRPr="009D7251">
        <w:rPr>
          <w:rFonts w:cs="Arial"/>
          <w:szCs w:val="20"/>
        </w:rPr>
        <w:t>The purpose of the code will be achieved through the following overall outcomes</w:t>
      </w:r>
    </w:p>
    <w:p w:rsidR="0057297D" w:rsidRDefault="00D408A4" w:rsidP="00361621">
      <w:pPr>
        <w:numPr>
          <w:ilvl w:val="1"/>
          <w:numId w:val="213"/>
        </w:numPr>
        <w:tabs>
          <w:tab w:val="left" w:pos="1134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Development is</w:t>
      </w:r>
      <w:r w:rsidR="0057297D" w:rsidRPr="009D7251">
        <w:rPr>
          <w:rFonts w:cs="Arial"/>
          <w:szCs w:val="20"/>
        </w:rPr>
        <w:t xml:space="preserve"> established in accessible locations, consolidate </w:t>
      </w:r>
      <w:r w:rsidR="0057297D">
        <w:rPr>
          <w:rFonts w:cs="Arial"/>
          <w:szCs w:val="20"/>
        </w:rPr>
        <w:t xml:space="preserve">development within </w:t>
      </w:r>
      <w:r w:rsidR="0057297D" w:rsidRPr="009D7251">
        <w:rPr>
          <w:rFonts w:cs="Arial"/>
          <w:szCs w:val="20"/>
        </w:rPr>
        <w:t>existing centre zones and established areas of commerce, or meet an existing need identified within a local plan area.</w:t>
      </w:r>
    </w:p>
    <w:p w:rsidR="0057297D" w:rsidRDefault="00D408A4" w:rsidP="00361621">
      <w:pPr>
        <w:numPr>
          <w:ilvl w:val="1"/>
          <w:numId w:val="213"/>
        </w:numPr>
        <w:tabs>
          <w:tab w:val="left" w:pos="1134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Development</w:t>
      </w:r>
      <w:r w:rsidR="00653137" w:rsidRPr="009D7251">
        <w:rPr>
          <w:rFonts w:cs="Arial"/>
          <w:szCs w:val="20"/>
        </w:rPr>
        <w:t xml:space="preserve"> complement</w:t>
      </w:r>
      <w:r>
        <w:rPr>
          <w:rFonts w:cs="Arial"/>
          <w:szCs w:val="20"/>
        </w:rPr>
        <w:t>s and reinforces</w:t>
      </w:r>
      <w:r w:rsidR="0057297D" w:rsidRPr="009D7251">
        <w:rPr>
          <w:rFonts w:cs="Arial"/>
          <w:szCs w:val="20"/>
        </w:rPr>
        <w:t xml:space="preserve"> the role and function of the established hierarchy of activity centres across the </w:t>
      </w:r>
      <w:r w:rsidR="0057297D">
        <w:rPr>
          <w:rFonts w:cs="Arial"/>
          <w:szCs w:val="20"/>
        </w:rPr>
        <w:t>r</w:t>
      </w:r>
      <w:r w:rsidR="0057297D" w:rsidRPr="009D7251">
        <w:rPr>
          <w:rFonts w:cs="Arial"/>
          <w:szCs w:val="20"/>
        </w:rPr>
        <w:t>egion, and do</w:t>
      </w:r>
      <w:r w:rsidR="003F608E">
        <w:rPr>
          <w:rFonts w:cs="Arial"/>
          <w:szCs w:val="20"/>
        </w:rPr>
        <w:t>es</w:t>
      </w:r>
      <w:r w:rsidR="0057297D" w:rsidRPr="009D7251">
        <w:rPr>
          <w:rFonts w:cs="Arial"/>
          <w:szCs w:val="20"/>
        </w:rPr>
        <w:t xml:space="preserve"> not compromise the future of consolidated and </w:t>
      </w:r>
      <w:r w:rsidR="00FD13C9">
        <w:rPr>
          <w:rFonts w:cs="Arial"/>
          <w:szCs w:val="20"/>
        </w:rPr>
        <w:t>cohesive</w:t>
      </w:r>
      <w:r w:rsidR="0057297D" w:rsidRPr="009D7251">
        <w:rPr>
          <w:rFonts w:cs="Arial"/>
          <w:szCs w:val="20"/>
        </w:rPr>
        <w:t xml:space="preserve"> activity centres.</w:t>
      </w:r>
    </w:p>
    <w:p w:rsidR="0057297D" w:rsidRDefault="00D408A4" w:rsidP="00361621">
      <w:pPr>
        <w:numPr>
          <w:ilvl w:val="1"/>
          <w:numId w:val="213"/>
        </w:numPr>
        <w:tabs>
          <w:tab w:val="left" w:pos="1134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Development</w:t>
      </w:r>
      <w:r w:rsidR="00653137">
        <w:rPr>
          <w:rFonts w:cs="Arial"/>
          <w:szCs w:val="20"/>
        </w:rPr>
        <w:t xml:space="preserve"> </w:t>
      </w:r>
      <w:r w:rsidR="0057297D" w:rsidRPr="009D7251">
        <w:rPr>
          <w:rFonts w:cs="Arial"/>
          <w:szCs w:val="20"/>
        </w:rPr>
        <w:t>contribute to a high quality built environment through:</w:t>
      </w:r>
    </w:p>
    <w:p w:rsidR="0057297D" w:rsidRPr="005F28D8" w:rsidRDefault="0057297D" w:rsidP="00361621">
      <w:pPr>
        <w:numPr>
          <w:ilvl w:val="2"/>
          <w:numId w:val="213"/>
        </w:numPr>
        <w:tabs>
          <w:tab w:val="left" w:pos="1701"/>
        </w:tabs>
        <w:spacing w:after="0"/>
        <w:rPr>
          <w:rFonts w:cs="Arial"/>
          <w:szCs w:val="20"/>
        </w:rPr>
      </w:pPr>
      <w:r w:rsidRPr="009D7251">
        <w:rPr>
          <w:rFonts w:cs="Arial"/>
          <w:szCs w:val="20"/>
        </w:rPr>
        <w:t>the use of</w:t>
      </w:r>
      <w:r>
        <w:rPr>
          <w:rFonts w:cs="Arial"/>
          <w:szCs w:val="20"/>
        </w:rPr>
        <w:t xml:space="preserve"> high quality</w:t>
      </w:r>
      <w:r w:rsidRPr="009D7251">
        <w:rPr>
          <w:rFonts w:cs="Arial"/>
          <w:szCs w:val="20"/>
        </w:rPr>
        <w:t xml:space="preserve"> </w:t>
      </w:r>
      <w:r w:rsidRPr="005F28D8">
        <w:rPr>
          <w:rFonts w:cs="Arial"/>
          <w:szCs w:val="20"/>
        </w:rPr>
        <w:t>materials, design and treatment of building facades, fenestration, roof forms and landscaping;</w:t>
      </w:r>
    </w:p>
    <w:p w:rsidR="0057297D" w:rsidRPr="009D7251" w:rsidRDefault="0057297D" w:rsidP="00361621">
      <w:pPr>
        <w:numPr>
          <w:ilvl w:val="2"/>
          <w:numId w:val="213"/>
        </w:numPr>
        <w:tabs>
          <w:tab w:val="left" w:pos="1701"/>
        </w:tabs>
        <w:spacing w:after="0"/>
        <w:rPr>
          <w:rFonts w:cs="Arial"/>
          <w:szCs w:val="20"/>
        </w:rPr>
      </w:pPr>
      <w:r w:rsidRPr="005F28D8">
        <w:rPr>
          <w:rFonts w:cs="Arial"/>
          <w:szCs w:val="20"/>
        </w:rPr>
        <w:t>providing spaces and access ways designed</w:t>
      </w:r>
      <w:r w:rsidRPr="009D7251">
        <w:rPr>
          <w:rFonts w:cs="Arial"/>
          <w:szCs w:val="20"/>
        </w:rPr>
        <w:t xml:space="preserve"> and treated for pedestrian comfort;</w:t>
      </w:r>
    </w:p>
    <w:p w:rsidR="0057297D" w:rsidRPr="009D7251" w:rsidRDefault="0057297D" w:rsidP="00361621">
      <w:pPr>
        <w:numPr>
          <w:ilvl w:val="2"/>
          <w:numId w:val="213"/>
        </w:numPr>
        <w:tabs>
          <w:tab w:val="left" w:pos="1701"/>
        </w:tabs>
        <w:spacing w:after="0"/>
        <w:rPr>
          <w:rFonts w:cs="Arial"/>
          <w:szCs w:val="20"/>
        </w:rPr>
      </w:pPr>
      <w:r w:rsidRPr="009D7251">
        <w:rPr>
          <w:rFonts w:cs="Arial"/>
          <w:szCs w:val="20"/>
        </w:rPr>
        <w:t>providing facilities that provide for comfort of the centre activity’s various users, including cyclists;</w:t>
      </w:r>
    </w:p>
    <w:p w:rsidR="0057297D" w:rsidRPr="009D7251" w:rsidRDefault="0057297D" w:rsidP="00361621">
      <w:pPr>
        <w:numPr>
          <w:ilvl w:val="2"/>
          <w:numId w:val="213"/>
        </w:numPr>
        <w:tabs>
          <w:tab w:val="left" w:pos="1701"/>
        </w:tabs>
        <w:spacing w:after="0"/>
        <w:rPr>
          <w:rFonts w:cs="Arial"/>
          <w:szCs w:val="20"/>
        </w:rPr>
      </w:pPr>
      <w:r w:rsidRPr="009D7251">
        <w:rPr>
          <w:rFonts w:cs="Arial"/>
          <w:szCs w:val="20"/>
        </w:rPr>
        <w:t>universal access between public, semi-public spaces and buildings;</w:t>
      </w:r>
    </w:p>
    <w:p w:rsidR="0057297D" w:rsidRPr="009D7251" w:rsidRDefault="0057297D" w:rsidP="00361621">
      <w:pPr>
        <w:numPr>
          <w:ilvl w:val="2"/>
          <w:numId w:val="213"/>
        </w:numPr>
        <w:tabs>
          <w:tab w:val="left" w:pos="1701"/>
        </w:tabs>
        <w:spacing w:after="0"/>
        <w:rPr>
          <w:rFonts w:cs="Arial"/>
          <w:szCs w:val="20"/>
        </w:rPr>
      </w:pPr>
      <w:r w:rsidRPr="009D7251">
        <w:rPr>
          <w:rFonts w:cs="Arial"/>
          <w:szCs w:val="20"/>
        </w:rPr>
        <w:t>integration with adjoining premises for cohesive streetscapes, and maintaining the character and qualities of distinct places;</w:t>
      </w:r>
    </w:p>
    <w:p w:rsidR="0057297D" w:rsidRPr="009D7251" w:rsidRDefault="0057297D" w:rsidP="00361621">
      <w:pPr>
        <w:numPr>
          <w:ilvl w:val="2"/>
          <w:numId w:val="213"/>
        </w:numPr>
        <w:tabs>
          <w:tab w:val="left" w:pos="1701"/>
        </w:tabs>
        <w:spacing w:after="0"/>
        <w:rPr>
          <w:rFonts w:cs="Arial"/>
          <w:szCs w:val="20"/>
        </w:rPr>
      </w:pPr>
      <w:r w:rsidRPr="009D7251">
        <w:rPr>
          <w:rFonts w:cs="Arial"/>
          <w:szCs w:val="20"/>
        </w:rPr>
        <w:t>design for user safety;</w:t>
      </w:r>
    </w:p>
    <w:p w:rsidR="0057297D" w:rsidRDefault="0057297D" w:rsidP="00361621">
      <w:pPr>
        <w:numPr>
          <w:ilvl w:val="2"/>
          <w:numId w:val="213"/>
        </w:numPr>
        <w:tabs>
          <w:tab w:val="left" w:pos="1701"/>
        </w:tabs>
        <w:spacing w:after="0"/>
        <w:rPr>
          <w:rFonts w:cs="Arial"/>
          <w:szCs w:val="20"/>
        </w:rPr>
      </w:pPr>
      <w:r w:rsidRPr="009D7251">
        <w:rPr>
          <w:rFonts w:cs="Arial"/>
          <w:szCs w:val="20"/>
        </w:rPr>
        <w:t>mitigating adverse impacts on amenity of surrounding communities.</w:t>
      </w:r>
    </w:p>
    <w:p w:rsidR="0057297D" w:rsidRPr="009D7251" w:rsidRDefault="00D408A4" w:rsidP="00361621">
      <w:pPr>
        <w:numPr>
          <w:ilvl w:val="1"/>
          <w:numId w:val="2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Development</w:t>
      </w:r>
      <w:r w:rsidR="00653137">
        <w:rPr>
          <w:rFonts w:cs="Arial"/>
          <w:szCs w:val="20"/>
        </w:rPr>
        <w:t xml:space="preserve"> </w:t>
      </w:r>
      <w:r w:rsidR="0057297D" w:rsidRPr="009D7251">
        <w:rPr>
          <w:rFonts w:cs="Arial"/>
          <w:szCs w:val="20"/>
        </w:rPr>
        <w:t>activate</w:t>
      </w:r>
      <w:r>
        <w:rPr>
          <w:rFonts w:cs="Arial"/>
          <w:szCs w:val="20"/>
        </w:rPr>
        <w:t>s</w:t>
      </w:r>
      <w:r w:rsidR="0057297D" w:rsidRPr="009D7251">
        <w:rPr>
          <w:rFonts w:cs="Arial"/>
          <w:szCs w:val="20"/>
        </w:rPr>
        <w:t xml:space="preserve"> public and semi-public spaces where it is desirable to:</w:t>
      </w:r>
    </w:p>
    <w:p w:rsidR="0057297D" w:rsidRPr="009D7251" w:rsidRDefault="0057297D" w:rsidP="00361621">
      <w:pPr>
        <w:numPr>
          <w:ilvl w:val="2"/>
          <w:numId w:val="213"/>
        </w:numPr>
        <w:spacing w:after="0"/>
        <w:rPr>
          <w:rFonts w:cs="Arial"/>
          <w:szCs w:val="20"/>
        </w:rPr>
      </w:pPr>
      <w:r w:rsidRPr="009D7251">
        <w:rPr>
          <w:rFonts w:cs="Arial"/>
          <w:szCs w:val="20"/>
        </w:rPr>
        <w:t>complement the character of the streetscape and relationship between other community and centre activities;</w:t>
      </w:r>
    </w:p>
    <w:p w:rsidR="0057297D" w:rsidRPr="00066EBD" w:rsidRDefault="0057297D" w:rsidP="00361621">
      <w:pPr>
        <w:numPr>
          <w:ilvl w:val="2"/>
          <w:numId w:val="213"/>
        </w:numPr>
        <w:spacing w:after="0"/>
        <w:rPr>
          <w:rFonts w:cs="Arial"/>
          <w:szCs w:val="20"/>
        </w:rPr>
      </w:pPr>
      <w:r w:rsidRPr="00066EBD">
        <w:rPr>
          <w:rFonts w:cs="Arial"/>
          <w:szCs w:val="20"/>
        </w:rPr>
        <w:t>create a distinctive localised form and sense of place in new and existing activity centres.</w:t>
      </w:r>
    </w:p>
    <w:p w:rsidR="0057297D" w:rsidRPr="00B37364" w:rsidRDefault="00D408A4" w:rsidP="00361621">
      <w:pPr>
        <w:numPr>
          <w:ilvl w:val="1"/>
          <w:numId w:val="213"/>
        </w:numPr>
        <w:tabs>
          <w:tab w:val="left" w:pos="1134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Development is</w:t>
      </w:r>
      <w:r w:rsidR="0057297D" w:rsidRPr="00B37364">
        <w:rPr>
          <w:rFonts w:cs="Arial"/>
          <w:szCs w:val="20"/>
        </w:rPr>
        <w:t xml:space="preserve"> designed with layouts that are adaptive to the needs of the community over time</w:t>
      </w:r>
      <w:r w:rsidR="0057297D">
        <w:rPr>
          <w:rFonts w:cs="Arial"/>
          <w:szCs w:val="20"/>
        </w:rPr>
        <w:t xml:space="preserve"> by:</w:t>
      </w:r>
    </w:p>
    <w:p w:rsidR="0057297D" w:rsidRDefault="0057297D" w:rsidP="00361621">
      <w:pPr>
        <w:numPr>
          <w:ilvl w:val="2"/>
          <w:numId w:val="213"/>
        </w:numPr>
        <w:spacing w:after="0"/>
        <w:rPr>
          <w:rFonts w:cs="Arial"/>
          <w:szCs w:val="20"/>
        </w:rPr>
      </w:pPr>
      <w:r w:rsidRPr="004E1DF5">
        <w:rPr>
          <w:rFonts w:cs="Arial"/>
          <w:szCs w:val="20"/>
        </w:rPr>
        <w:lastRenderedPageBreak/>
        <w:t>planning for active streets through</w:t>
      </w:r>
      <w:r>
        <w:rPr>
          <w:rFonts w:cs="Arial"/>
          <w:szCs w:val="20"/>
        </w:rPr>
        <w:t xml:space="preserve"> </w:t>
      </w:r>
      <w:r w:rsidRPr="004E1DF5">
        <w:rPr>
          <w:rFonts w:cs="Arial"/>
          <w:szCs w:val="20"/>
        </w:rPr>
        <w:t>a range of retail, commercial and community activities and spaces which can change with minimal intervention;</w:t>
      </w:r>
    </w:p>
    <w:p w:rsidR="0057297D" w:rsidRPr="004E1DF5" w:rsidRDefault="0057297D" w:rsidP="00361621">
      <w:pPr>
        <w:numPr>
          <w:ilvl w:val="2"/>
          <w:numId w:val="213"/>
        </w:numPr>
        <w:spacing w:after="0"/>
        <w:rPr>
          <w:rFonts w:cs="Arial"/>
          <w:szCs w:val="20"/>
        </w:rPr>
      </w:pPr>
      <w:r w:rsidRPr="004E1DF5">
        <w:rPr>
          <w:rFonts w:cs="Arial"/>
          <w:szCs w:val="20"/>
        </w:rPr>
        <w:t>sleeving larger format retail and commercial activities</w:t>
      </w:r>
      <w:r>
        <w:rPr>
          <w:rFonts w:cs="Arial"/>
          <w:szCs w:val="20"/>
        </w:rPr>
        <w:t xml:space="preserve"> behind active street fronts</w:t>
      </w:r>
      <w:r w:rsidRPr="004E1DF5">
        <w:rPr>
          <w:rFonts w:cs="Arial"/>
          <w:szCs w:val="20"/>
        </w:rPr>
        <w:t>;</w:t>
      </w:r>
    </w:p>
    <w:p w:rsidR="0057297D" w:rsidRDefault="0057297D" w:rsidP="00361621">
      <w:pPr>
        <w:numPr>
          <w:ilvl w:val="2"/>
          <w:numId w:val="2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allowing for interim uses that can be changed over time and be added to with minimal interventions.</w:t>
      </w:r>
    </w:p>
    <w:p w:rsidR="003737C8" w:rsidRDefault="003737C8" w:rsidP="00B52477">
      <w:pPr>
        <w:spacing w:after="0"/>
        <w:ind w:left="1701"/>
        <w:rPr>
          <w:rFonts w:cs="Arial"/>
          <w:szCs w:val="20"/>
        </w:rPr>
      </w:pPr>
    </w:p>
    <w:p w:rsidR="0057297D" w:rsidRPr="00EF4AB7" w:rsidRDefault="0057297D" w:rsidP="00361621">
      <w:pPr>
        <w:numPr>
          <w:ilvl w:val="0"/>
          <w:numId w:val="213"/>
        </w:numPr>
        <w:spacing w:after="0"/>
        <w:rPr>
          <w:rFonts w:cs="Arial"/>
          <w:szCs w:val="20"/>
        </w:rPr>
      </w:pPr>
      <w:r w:rsidRPr="00EF4AB7">
        <w:rPr>
          <w:rFonts w:cs="Arial"/>
          <w:szCs w:val="20"/>
        </w:rPr>
        <w:t>Adult store</w:t>
      </w:r>
      <w:r>
        <w:rPr>
          <w:rFonts w:cs="Arial"/>
          <w:szCs w:val="20"/>
        </w:rPr>
        <w:t>s</w:t>
      </w:r>
      <w:r w:rsidRPr="00EF4A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are located and </w:t>
      </w:r>
      <w:r w:rsidRPr="00EF4AB7">
        <w:rPr>
          <w:rFonts w:cs="Arial"/>
          <w:szCs w:val="20"/>
        </w:rPr>
        <w:t xml:space="preserve">established without adversely affecting amenity </w:t>
      </w:r>
      <w:r>
        <w:rPr>
          <w:rFonts w:cs="Arial"/>
          <w:szCs w:val="20"/>
        </w:rPr>
        <w:t>through;</w:t>
      </w:r>
    </w:p>
    <w:p w:rsidR="0057297D" w:rsidRPr="009739CF" w:rsidRDefault="00001EDE" w:rsidP="00361621">
      <w:pPr>
        <w:pStyle w:val="ListParagraph"/>
        <w:numPr>
          <w:ilvl w:val="1"/>
          <w:numId w:val="213"/>
        </w:numPr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57297D" w:rsidRPr="009739CF">
        <w:rPr>
          <w:rFonts w:cs="Arial"/>
          <w:szCs w:val="20"/>
        </w:rPr>
        <w:t xml:space="preserve">eparation from sensitive </w:t>
      </w:r>
      <w:r w:rsidR="00F822FB">
        <w:rPr>
          <w:rFonts w:cs="Arial"/>
          <w:szCs w:val="20"/>
        </w:rPr>
        <w:t xml:space="preserve">land </w:t>
      </w:r>
      <w:r w:rsidR="0057297D" w:rsidRPr="009739CF">
        <w:rPr>
          <w:rFonts w:cs="Arial"/>
          <w:szCs w:val="20"/>
        </w:rPr>
        <w:t>uses;</w:t>
      </w:r>
    </w:p>
    <w:p w:rsidR="0057297D" w:rsidRPr="009739CF" w:rsidRDefault="00001EDE" w:rsidP="00361621">
      <w:pPr>
        <w:pStyle w:val="ListParagraph"/>
        <w:numPr>
          <w:ilvl w:val="1"/>
          <w:numId w:val="213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57297D" w:rsidRPr="009739CF">
        <w:rPr>
          <w:rFonts w:cs="Arial"/>
          <w:szCs w:val="20"/>
        </w:rPr>
        <w:t>rovision of appropriate access</w:t>
      </w:r>
      <w:r w:rsidR="00760F40">
        <w:rPr>
          <w:rFonts w:cs="Arial"/>
          <w:szCs w:val="20"/>
        </w:rPr>
        <w:t>.</w:t>
      </w:r>
    </w:p>
    <w:p w:rsidR="0057297D" w:rsidRPr="005A77FA" w:rsidRDefault="0057297D" w:rsidP="0057297D">
      <w:pPr>
        <w:pStyle w:val="Heading4"/>
        <w:ind w:left="851"/>
      </w:pPr>
      <w:bookmarkStart w:id="1" w:name="_Ref364322393"/>
      <w:r>
        <w:t>Criteria for a</w:t>
      </w:r>
      <w:r w:rsidRPr="005A77FA">
        <w:t>ssessment</w:t>
      </w:r>
      <w:bookmarkEnd w:id="0"/>
      <w:bookmarkEnd w:id="1"/>
      <w:r w:rsidRPr="005A77FA">
        <w:t xml:space="preserve"> </w:t>
      </w:r>
    </w:p>
    <w:p w:rsidR="0057297D" w:rsidRPr="00BF128E" w:rsidRDefault="0057297D" w:rsidP="0057297D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</w:t>
      </w:r>
      <w:r>
        <w:rPr>
          <w:rFonts w:ascii="Arial" w:eastAsia="Times New Roman" w:hAnsi="Arial" w:cs="Arial"/>
          <w:szCs w:val="20"/>
        </w:rPr>
        <w:t xml:space="preserve"> 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57297D" w:rsidRPr="005A77FA" w:rsidRDefault="0057297D" w:rsidP="0057297D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57297D" w:rsidRPr="005A77FA" w:rsidRDefault="0057297D" w:rsidP="0057297D">
      <w:pPr>
        <w:pStyle w:val="Caption"/>
      </w:pPr>
      <w:r w:rsidRPr="00452818">
        <w:t>Table</w:t>
      </w:r>
      <w:r>
        <w:t xml:space="preserve"> </w:t>
      </w:r>
      <w:r>
        <w:rPr>
          <w:b w:val="0"/>
          <w:bCs w:val="0"/>
        </w:rPr>
        <w:fldChar w:fldCharType="begin"/>
      </w:r>
      <w:r>
        <w:instrText xml:space="preserve"> REF _Ref364322393 \r \h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760F40">
        <w:t>9.4.1.3</w:t>
      </w:r>
      <w:r>
        <w:rPr>
          <w:b w:val="0"/>
          <w:bCs w:val="0"/>
        </w:rPr>
        <w:fldChar w:fldCharType="end"/>
      </w:r>
      <w:r w:rsidRPr="00452818">
        <w:t>.a –</w:t>
      </w:r>
      <w:r>
        <w:t xml:space="preserve"> Centre </w:t>
      </w:r>
      <w:r w:rsidR="00967B57">
        <w:t xml:space="preserve">design </w:t>
      </w:r>
      <w:r>
        <w:t>code</w:t>
      </w:r>
      <w:r w:rsidRPr="00452818">
        <w:t xml:space="preserve"> – </w:t>
      </w:r>
      <w:r w:rsidR="00967B57">
        <w:t xml:space="preserve">self-assessable and </w:t>
      </w:r>
      <w:r w:rsidRPr="00452818">
        <w:t>assessable development</w:t>
      </w:r>
    </w:p>
    <w:tbl>
      <w:tblPr>
        <w:tblStyle w:val="ListTable3-Accent31"/>
        <w:tblW w:w="7487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624"/>
        <w:gridCol w:w="128"/>
        <w:gridCol w:w="4691"/>
        <w:gridCol w:w="64"/>
        <w:gridCol w:w="4755"/>
        <w:gridCol w:w="7139"/>
      </w:tblGrid>
      <w:tr w:rsidR="000337F8" w:rsidRPr="005A77FA" w:rsidTr="000337F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68" w:type="pct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pct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337F8" w:rsidRPr="005A77FA" w:rsidRDefault="000337F8" w:rsidP="003711F1">
            <w:r w:rsidRPr="005A77FA">
              <w:t>Performance outcomes</w:t>
            </w:r>
          </w:p>
        </w:tc>
        <w:tc>
          <w:tcPr>
            <w:tcW w:w="1111" w:type="pct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337F8" w:rsidRPr="005A77FA" w:rsidRDefault="000337F8" w:rsidP="00371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337F8" w:rsidRPr="005A77FA" w:rsidRDefault="000337F8" w:rsidP="003711F1">
            <w:r>
              <w:t>Applicant response</w:t>
            </w:r>
          </w:p>
        </w:tc>
      </w:tr>
      <w:tr w:rsidR="000337F8" w:rsidRPr="00621988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Pr="00621988" w:rsidRDefault="000337F8" w:rsidP="003711F1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</w:t>
            </w:r>
            <w:r w:rsidRPr="00621988">
              <w:rPr>
                <w:b/>
              </w:rPr>
              <w:t>assessable development</w:t>
            </w:r>
          </w:p>
        </w:tc>
      </w:tr>
      <w:tr w:rsidR="000337F8" w:rsidRPr="002C79EE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0337F8" w:rsidRDefault="000337F8" w:rsidP="003711F1">
            <w:pPr>
              <w:rPr>
                <w:rStyle w:val="Strong"/>
              </w:rPr>
            </w:pPr>
            <w:r>
              <w:rPr>
                <w:rStyle w:val="Strong"/>
              </w:rPr>
              <w:t>Change of use within existing building or facilities</w:t>
            </w: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pct"/>
            <w:gridSpan w:val="2"/>
          </w:tcPr>
          <w:p w:rsidR="000337F8" w:rsidRPr="002C65A8" w:rsidRDefault="000337F8" w:rsidP="003711F1">
            <w:pPr>
              <w:rPr>
                <w:rFonts w:eastAsia="Calibri" w:cs="Arial"/>
                <w:b/>
                <w:szCs w:val="20"/>
              </w:rPr>
            </w:pPr>
            <w:r w:rsidRPr="002C65A8">
              <w:rPr>
                <w:rFonts w:eastAsia="Calibri" w:cs="Arial"/>
                <w:b/>
                <w:szCs w:val="20"/>
              </w:rPr>
              <w:t>PO1</w:t>
            </w:r>
          </w:p>
          <w:p w:rsidR="000337F8" w:rsidRPr="002C65A8" w:rsidRDefault="000337F8" w:rsidP="003711F1">
            <w:pPr>
              <w:rPr>
                <w:rFonts w:eastAsia="Calibri" w:cs="Arial"/>
                <w:szCs w:val="20"/>
              </w:rPr>
            </w:pPr>
            <w:r w:rsidRPr="002C65A8">
              <w:rPr>
                <w:rFonts w:eastAsia="Calibri" w:cs="Arial"/>
                <w:szCs w:val="20"/>
              </w:rPr>
              <w:t>Development that involves a change of use within an existing building ensures:</w:t>
            </w:r>
          </w:p>
          <w:p w:rsidR="000337F8" w:rsidRPr="002C65A8" w:rsidRDefault="000337F8" w:rsidP="000B6D7E">
            <w:pPr>
              <w:ind w:left="426" w:hanging="426"/>
              <w:rPr>
                <w:rFonts w:eastAsia="Calibri" w:cs="Arial"/>
                <w:szCs w:val="20"/>
              </w:rPr>
            </w:pPr>
            <w:r w:rsidRPr="002C65A8">
              <w:rPr>
                <w:rFonts w:eastAsia="Calibri" w:cs="Arial"/>
                <w:szCs w:val="20"/>
              </w:rPr>
              <w:t>(a)</w:t>
            </w:r>
            <w:r w:rsidRPr="002C65A8">
              <w:rPr>
                <w:rFonts w:eastAsia="Calibri" w:cs="Arial"/>
                <w:szCs w:val="20"/>
              </w:rPr>
              <w:tab/>
              <w:t xml:space="preserve">changes to floor space of the centre activity </w:t>
            </w:r>
            <w:r>
              <w:rPr>
                <w:rFonts w:eastAsia="Calibri" w:cs="Arial"/>
                <w:szCs w:val="20"/>
              </w:rPr>
              <w:t>results in only minor expansion of floor area</w:t>
            </w:r>
            <w:r w:rsidRPr="002C65A8">
              <w:rPr>
                <w:rFonts w:eastAsia="Calibri" w:cs="Arial"/>
                <w:szCs w:val="20"/>
              </w:rPr>
              <w:t>;</w:t>
            </w:r>
          </w:p>
          <w:p w:rsidR="000337F8" w:rsidRPr="005A3A6F" w:rsidRDefault="000337F8" w:rsidP="000B6D7E">
            <w:pPr>
              <w:ind w:left="426" w:hanging="426"/>
              <w:rPr>
                <w:rFonts w:cs="Arial"/>
                <w:szCs w:val="20"/>
              </w:rPr>
            </w:pPr>
            <w:r w:rsidRPr="002C65A8">
              <w:rPr>
                <w:rFonts w:eastAsia="Calibri" w:cs="Arial"/>
                <w:szCs w:val="20"/>
              </w:rPr>
              <w:t>(b)</w:t>
            </w:r>
            <w:r w:rsidRPr="002C65A8">
              <w:rPr>
                <w:rFonts w:eastAsia="Calibri" w:cs="Arial"/>
                <w:szCs w:val="20"/>
              </w:rPr>
              <w:tab/>
              <w:t>the appropriate design and amenity standards for the centre activity is maintained.</w:t>
            </w:r>
          </w:p>
        </w:tc>
        <w:tc>
          <w:tcPr>
            <w:tcW w:w="1096" w:type="pct"/>
          </w:tcPr>
          <w:p w:rsidR="000337F8" w:rsidRPr="00B3791F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B3791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1.1</w:t>
            </w:r>
          </w:p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251">
              <w:rPr>
                <w:rFonts w:cs="Arial"/>
                <w:szCs w:val="20"/>
              </w:rPr>
              <w:t xml:space="preserve">Changes of use within </w:t>
            </w:r>
            <w:r>
              <w:rPr>
                <w:rFonts w:cs="Arial"/>
                <w:szCs w:val="20"/>
              </w:rPr>
              <w:t xml:space="preserve">an </w:t>
            </w:r>
            <w:r w:rsidRPr="009D7251">
              <w:rPr>
                <w:rFonts w:cs="Arial"/>
                <w:szCs w:val="20"/>
              </w:rPr>
              <w:t xml:space="preserve">existing building containing centre </w:t>
            </w:r>
            <w:r>
              <w:rPr>
                <w:rFonts w:cs="Arial"/>
                <w:szCs w:val="20"/>
              </w:rPr>
              <w:t xml:space="preserve">activities </w:t>
            </w:r>
            <w:r w:rsidRPr="009D7251">
              <w:rPr>
                <w:rFonts w:cs="Arial"/>
                <w:szCs w:val="20"/>
              </w:rPr>
              <w:t>or business uses ensures:</w:t>
            </w:r>
          </w:p>
          <w:p w:rsidR="000337F8" w:rsidRPr="009D7251" w:rsidRDefault="000337F8" w:rsidP="000B6D7E">
            <w:pPr>
              <w:ind w:left="48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251">
              <w:rPr>
                <w:rFonts w:cs="Arial"/>
                <w:szCs w:val="20"/>
              </w:rPr>
              <w:t>(a)</w:t>
            </w:r>
            <w:r w:rsidRPr="009D7251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that any </w:t>
            </w:r>
            <w:r w:rsidRPr="009D7251">
              <w:rPr>
                <w:rFonts w:cs="Arial"/>
                <w:szCs w:val="20"/>
              </w:rPr>
              <w:t xml:space="preserve">increase in </w:t>
            </w:r>
            <w:r>
              <w:rPr>
                <w:rFonts w:cs="Arial"/>
                <w:szCs w:val="20"/>
              </w:rPr>
              <w:t>GFA</w:t>
            </w:r>
            <w:r w:rsidRPr="009D7251">
              <w:rPr>
                <w:rFonts w:cs="Arial"/>
                <w:szCs w:val="20"/>
              </w:rPr>
              <w:t xml:space="preserve"> does not exceed 10% or 50m</w:t>
            </w:r>
            <w:r w:rsidRPr="009D7251">
              <w:rPr>
                <w:rFonts w:cs="Arial"/>
                <w:szCs w:val="20"/>
                <w:vertAlign w:val="superscript"/>
              </w:rPr>
              <w:t>2</w:t>
            </w:r>
            <w:r w:rsidRPr="009D7251">
              <w:rPr>
                <w:rFonts w:cs="Arial"/>
                <w:szCs w:val="20"/>
              </w:rPr>
              <w:t>, whichever is the lesser;</w:t>
            </w:r>
          </w:p>
          <w:p w:rsidR="000337F8" w:rsidRPr="005F28D8" w:rsidRDefault="000337F8" w:rsidP="000B6D7E">
            <w:pPr>
              <w:ind w:left="48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251">
              <w:rPr>
                <w:rFonts w:cs="Arial"/>
                <w:szCs w:val="20"/>
              </w:rPr>
              <w:t>(b)</w:t>
            </w:r>
            <w:r w:rsidRPr="009D7251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the increase </w:t>
            </w:r>
            <w:r w:rsidRPr="005F28D8">
              <w:rPr>
                <w:rFonts w:cs="Arial"/>
                <w:szCs w:val="20"/>
              </w:rPr>
              <w:t>does not diminish the quality or quantity of landscaping or landscaped area;</w:t>
            </w:r>
          </w:p>
          <w:p w:rsidR="000337F8" w:rsidRDefault="000337F8" w:rsidP="000B6D7E">
            <w:pPr>
              <w:ind w:left="48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F28D8">
              <w:rPr>
                <w:rFonts w:cs="Arial"/>
                <w:szCs w:val="20"/>
              </w:rPr>
              <w:t>(c)</w:t>
            </w:r>
            <w:r w:rsidRPr="005F28D8">
              <w:rPr>
                <w:rFonts w:cs="Arial"/>
                <w:szCs w:val="20"/>
              </w:rPr>
              <w:tab/>
              <w:t xml:space="preserve">the total number of car parking spaces to meet the demand of the whole development is as per </w:t>
            </w:r>
            <w:r>
              <w:rPr>
                <w:rFonts w:cs="Arial"/>
                <w:szCs w:val="20"/>
              </w:rPr>
              <w:t>T</w:t>
            </w:r>
            <w:r w:rsidRPr="005F28D8">
              <w:rPr>
                <w:rFonts w:cs="Arial"/>
                <w:szCs w:val="20"/>
              </w:rPr>
              <w:t xml:space="preserve">able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REF _Ref364322393 \n \h  \* MERGEFORMAT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9.4.2.3</w:t>
            </w:r>
            <w:r>
              <w:rPr>
                <w:rFonts w:cs="Arial"/>
                <w:szCs w:val="20"/>
              </w:rPr>
              <w:fldChar w:fldCharType="end"/>
            </w:r>
            <w:r w:rsidRPr="00B5028D">
              <w:rPr>
                <w:rFonts w:cs="Arial"/>
                <w:szCs w:val="20"/>
              </w:rPr>
              <w:t xml:space="preserve">.b and </w:t>
            </w:r>
            <w:r>
              <w:rPr>
                <w:rFonts w:cs="Arial"/>
                <w:szCs w:val="20"/>
              </w:rPr>
              <w:t>T</w:t>
            </w:r>
            <w:r w:rsidRPr="00B5028D">
              <w:rPr>
                <w:rFonts w:cs="Arial"/>
                <w:szCs w:val="20"/>
              </w:rPr>
              <w:t xml:space="preserve">able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REF _Ref364322393 \n \h  \* MERGEFORMAT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9.4.2.3</w:t>
            </w:r>
            <w:r>
              <w:rPr>
                <w:rFonts w:cs="Arial"/>
                <w:szCs w:val="20"/>
              </w:rPr>
              <w:fldChar w:fldCharType="end"/>
            </w:r>
            <w:r w:rsidRPr="00B5028D">
              <w:rPr>
                <w:rFonts w:cs="Arial"/>
                <w:szCs w:val="20"/>
              </w:rPr>
              <w:t>.c within the Parking and access code.</w:t>
            </w:r>
          </w:p>
          <w:p w:rsidR="000337F8" w:rsidRPr="009739CF" w:rsidRDefault="000337F8" w:rsidP="003711F1">
            <w:pPr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:rsidR="000337F8" w:rsidRPr="005F28D8" w:rsidRDefault="000337F8" w:rsidP="00DB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Note – The </w:t>
            </w:r>
            <w:r w:rsidRPr="005F28D8">
              <w:rPr>
                <w:rFonts w:cs="Arial"/>
                <w:sz w:val="16"/>
                <w:szCs w:val="16"/>
              </w:rPr>
              <w:t>whole development means the entire building or activity on a site (or sites) where shared parking areas are utilised.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B3791F" w:rsidRDefault="000337F8" w:rsidP="003711F1">
            <w:pPr>
              <w:rPr>
                <w:rFonts w:cs="Arial"/>
                <w:b/>
                <w:szCs w:val="20"/>
              </w:rPr>
            </w:pP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pct"/>
            <w:gridSpan w:val="2"/>
          </w:tcPr>
          <w:p w:rsidR="000337F8" w:rsidRPr="00347914" w:rsidRDefault="000337F8" w:rsidP="00347914">
            <w:pPr>
              <w:rPr>
                <w:b/>
              </w:rPr>
            </w:pPr>
            <w:r w:rsidRPr="00347914">
              <w:rPr>
                <w:b/>
              </w:rPr>
              <w:t>PO2</w:t>
            </w:r>
          </w:p>
          <w:p w:rsidR="000337F8" w:rsidRPr="00535FFE" w:rsidRDefault="000337F8" w:rsidP="00347914">
            <w:r w:rsidRPr="00535FFE">
              <w:t>Building plant or equipment cannot be viewed from public places.</w:t>
            </w:r>
          </w:p>
        </w:tc>
        <w:tc>
          <w:tcPr>
            <w:tcW w:w="1096" w:type="pct"/>
          </w:tcPr>
          <w:p w:rsidR="000337F8" w:rsidRPr="00347914" w:rsidRDefault="000337F8" w:rsidP="0034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347914">
              <w:rPr>
                <w:rFonts w:cs="Arial"/>
                <w:b/>
                <w:szCs w:val="20"/>
                <w:lang w:val="en-GB"/>
              </w:rPr>
              <w:t>AO2.1</w:t>
            </w:r>
          </w:p>
          <w:p w:rsidR="000337F8" w:rsidRPr="00535FFE" w:rsidRDefault="000337F8" w:rsidP="00770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  <w:r w:rsidRPr="00347914">
              <w:rPr>
                <w:rFonts w:cs="Arial"/>
                <w:szCs w:val="20"/>
                <w:lang w:val="en-GB"/>
              </w:rPr>
              <w:t>Where</w:t>
            </w:r>
            <w:r w:rsidRPr="00535FFE">
              <w:rPr>
                <w:rFonts w:eastAsia="Calibri" w:cs="Arial"/>
                <w:szCs w:val="20"/>
              </w:rPr>
              <w:t xml:space="preserve"> plant or equipment is </w:t>
            </w:r>
            <w:r>
              <w:rPr>
                <w:rFonts w:eastAsia="Calibri" w:cs="Arial"/>
                <w:szCs w:val="20"/>
              </w:rPr>
              <w:t>visible from public places</w:t>
            </w:r>
            <w:r w:rsidRPr="00535FFE">
              <w:rPr>
                <w:rFonts w:eastAsia="Calibri" w:cs="Arial"/>
                <w:szCs w:val="20"/>
              </w:rPr>
              <w:t xml:space="preserve">, it is appropriately screened from </w:t>
            </w:r>
            <w:r>
              <w:rPr>
                <w:rFonts w:eastAsia="Calibri" w:cs="Arial"/>
                <w:szCs w:val="20"/>
              </w:rPr>
              <w:t xml:space="preserve">view using a </w:t>
            </w:r>
            <w:r w:rsidRPr="00535FFE">
              <w:rPr>
                <w:rFonts w:eastAsia="Calibri" w:cs="Arial"/>
                <w:szCs w:val="20"/>
              </w:rPr>
              <w:t>design feature.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347914" w:rsidRDefault="000337F8" w:rsidP="0034791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621988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Pr="00621988" w:rsidRDefault="000337F8" w:rsidP="003711F1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assessable development</w:t>
            </w:r>
          </w:p>
        </w:tc>
      </w:tr>
      <w:tr w:rsidR="000337F8" w:rsidRPr="002C79EE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3711F1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Site requirements</w:t>
            </w: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B624E0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B624E0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3</w:t>
            </w:r>
          </w:p>
          <w:p w:rsidR="000337F8" w:rsidRPr="002C65A8" w:rsidRDefault="000337F8" w:rsidP="003711F1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</w:t>
            </w:r>
            <w:r w:rsidRPr="002C65A8">
              <w:rPr>
                <w:rFonts w:cs="Arial"/>
                <w:szCs w:val="20"/>
                <w:lang w:val="en-GB"/>
              </w:rPr>
              <w:t xml:space="preserve"> is located within:</w:t>
            </w:r>
          </w:p>
          <w:p w:rsidR="000337F8" w:rsidRDefault="000337F8" w:rsidP="000B6D7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2C65A8">
              <w:rPr>
                <w:rFonts w:cs="Arial"/>
                <w:szCs w:val="20"/>
                <w:lang w:val="en-GB"/>
              </w:rPr>
              <w:t>(a)</w:t>
            </w:r>
            <w:r w:rsidRPr="002C65A8">
              <w:rPr>
                <w:rFonts w:cs="Arial"/>
                <w:szCs w:val="20"/>
                <w:lang w:val="en-GB"/>
              </w:rPr>
              <w:tab/>
              <w:t xml:space="preserve">an existing 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2C65A8">
              <w:rPr>
                <w:rFonts w:cs="Arial"/>
                <w:szCs w:val="20"/>
                <w:lang w:val="en-GB"/>
              </w:rPr>
              <w:t>entre zone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0337F8" w:rsidRDefault="000337F8" w:rsidP="000B6D7E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>M</w:t>
            </w:r>
            <w:r w:rsidRPr="002C65A8">
              <w:rPr>
                <w:rFonts w:cs="Arial"/>
                <w:szCs w:val="20"/>
                <w:lang w:val="en-GB"/>
              </w:rPr>
              <w:t>ixed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2C65A8">
              <w:rPr>
                <w:rFonts w:cs="Arial"/>
                <w:szCs w:val="20"/>
                <w:lang w:val="en-GB"/>
              </w:rPr>
              <w:t>use zone</w:t>
            </w:r>
            <w:r>
              <w:rPr>
                <w:rFonts w:cs="Arial"/>
                <w:szCs w:val="20"/>
                <w:lang w:val="en-GB"/>
              </w:rPr>
              <w:t xml:space="preserve"> precinct 1 – Commercial;</w:t>
            </w:r>
          </w:p>
          <w:p w:rsidR="000337F8" w:rsidRPr="002C65A8" w:rsidRDefault="000337F8" w:rsidP="000B6D7E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>Mixed use zone precinct 2 – trades and services</w:t>
            </w:r>
            <w:r w:rsidRPr="002C65A8">
              <w:rPr>
                <w:rFonts w:cs="Arial"/>
                <w:szCs w:val="20"/>
                <w:lang w:val="en-GB"/>
              </w:rPr>
              <w:t>; or</w:t>
            </w:r>
          </w:p>
          <w:p w:rsidR="000337F8" w:rsidRDefault="000337F8" w:rsidP="000B6D7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2C65A8">
              <w:rPr>
                <w:rFonts w:cs="Arial"/>
                <w:szCs w:val="20"/>
                <w:lang w:val="en-GB"/>
              </w:rPr>
              <w:t>(b)</w:t>
            </w:r>
            <w:r w:rsidRPr="002C65A8"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Cs w:val="20"/>
                <w:lang w:val="en-GB"/>
              </w:rPr>
              <w:t xml:space="preserve">a </w:t>
            </w:r>
            <w:r w:rsidRPr="002C65A8">
              <w:rPr>
                <w:rFonts w:cs="Arial"/>
                <w:szCs w:val="20"/>
                <w:lang w:val="en-GB"/>
              </w:rPr>
              <w:t>building containing an existing centre activity; or</w:t>
            </w:r>
          </w:p>
          <w:p w:rsidR="000337F8" w:rsidRDefault="000337F8" w:rsidP="000B6D7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2C65A8">
              <w:rPr>
                <w:rFonts w:cs="Arial"/>
                <w:szCs w:val="20"/>
                <w:lang w:val="en-GB"/>
              </w:rPr>
              <w:t>(c)</w:t>
            </w:r>
            <w:r w:rsidRPr="002C65A8"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Cs w:val="20"/>
                <w:lang w:val="en-GB"/>
              </w:rPr>
              <w:t xml:space="preserve">an </w:t>
            </w:r>
            <w:r w:rsidRPr="002C65A8">
              <w:rPr>
                <w:rFonts w:cs="Arial"/>
                <w:szCs w:val="20"/>
                <w:lang w:val="en-GB"/>
              </w:rPr>
              <w:t>identified</w:t>
            </w:r>
            <w:r>
              <w:rPr>
                <w:rFonts w:cs="Arial"/>
                <w:szCs w:val="20"/>
                <w:lang w:val="en-GB"/>
              </w:rPr>
              <w:t xml:space="preserve"> centre precinct</w:t>
            </w:r>
            <w:r w:rsidRPr="002C65A8">
              <w:rPr>
                <w:rFonts w:cs="Arial"/>
                <w:szCs w:val="20"/>
                <w:lang w:val="en-GB"/>
              </w:rPr>
              <w:t xml:space="preserve"> within a Local </w:t>
            </w:r>
            <w:r>
              <w:rPr>
                <w:rFonts w:cs="Arial"/>
                <w:szCs w:val="20"/>
                <w:lang w:val="en-GB"/>
              </w:rPr>
              <w:t>p</w:t>
            </w:r>
            <w:r w:rsidRPr="002C65A8">
              <w:rPr>
                <w:rFonts w:cs="Arial"/>
                <w:szCs w:val="20"/>
                <w:lang w:val="en-GB"/>
              </w:rPr>
              <w:t>lan</w:t>
            </w:r>
            <w:r>
              <w:rPr>
                <w:rFonts w:cs="Arial"/>
                <w:szCs w:val="20"/>
                <w:lang w:val="en-GB"/>
              </w:rPr>
              <w:t>.</w:t>
            </w:r>
          </w:p>
          <w:p w:rsidR="000337F8" w:rsidRDefault="000337F8" w:rsidP="003711F1">
            <w:pPr>
              <w:ind w:left="567" w:hanging="567"/>
              <w:rPr>
                <w:rFonts w:cs="Arial"/>
                <w:szCs w:val="20"/>
                <w:lang w:val="en-GB"/>
              </w:rPr>
            </w:pPr>
          </w:p>
          <w:p w:rsidR="000337F8" w:rsidRDefault="000337F8" w:rsidP="0084004B">
            <w:pPr>
              <w:rPr>
                <w:rFonts w:cs="Arial"/>
                <w:sz w:val="16"/>
                <w:szCs w:val="16"/>
                <w:lang w:val="en-GB"/>
              </w:rPr>
            </w:pPr>
            <w:r w:rsidRPr="0084004B">
              <w:rPr>
                <w:rFonts w:cs="Arial"/>
                <w:sz w:val="16"/>
                <w:szCs w:val="16"/>
                <w:lang w:val="en-GB"/>
              </w:rPr>
              <w:t>Note – Refer to the definition of Centre zone contained in Schedule 1.</w:t>
            </w:r>
            <w:r>
              <w:rPr>
                <w:rFonts w:cs="Arial"/>
                <w:sz w:val="16"/>
                <w:szCs w:val="16"/>
                <w:lang w:val="en-GB"/>
              </w:rPr>
              <w:t>2</w:t>
            </w:r>
          </w:p>
          <w:p w:rsidR="000337F8" w:rsidRDefault="000337F8" w:rsidP="0084004B">
            <w:pPr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</w:p>
          <w:p w:rsidR="000337F8" w:rsidRPr="0084004B" w:rsidRDefault="000337F8" w:rsidP="00DB6D30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Note –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Guidance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on demonstrating compliance with the Performance Outcome is outlined within Planning scheme policy – Activity centres.</w:t>
            </w:r>
          </w:p>
        </w:tc>
        <w:tc>
          <w:tcPr>
            <w:tcW w:w="1126" w:type="pct"/>
            <w:gridSpan w:val="2"/>
          </w:tcPr>
          <w:p w:rsidR="000337F8" w:rsidRPr="00B624E0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B624E0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3.1</w:t>
            </w:r>
          </w:p>
          <w:p w:rsidR="000337F8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3E2E6D">
              <w:rPr>
                <w:rFonts w:cs="Arial"/>
                <w:szCs w:val="20"/>
                <w:lang w:val="en-GB"/>
              </w:rPr>
              <w:t xml:space="preserve">No acceptable outcomes </w:t>
            </w:r>
            <w:r>
              <w:rPr>
                <w:rFonts w:cs="Arial"/>
                <w:szCs w:val="20"/>
                <w:lang w:val="en-GB"/>
              </w:rPr>
              <w:t>are provided.</w:t>
            </w:r>
          </w:p>
          <w:p w:rsidR="000337F8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0"/>
                <w:lang w:val="en-GB"/>
              </w:rPr>
            </w:pPr>
          </w:p>
          <w:p w:rsidR="000337F8" w:rsidRPr="00D65438" w:rsidRDefault="000337F8" w:rsidP="005F2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B624E0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shd w:val="clear" w:color="auto" w:fill="auto"/>
          </w:tcPr>
          <w:p w:rsidR="000337F8" w:rsidRPr="00B624E0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B624E0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4</w:t>
            </w:r>
          </w:p>
          <w:p w:rsidR="000337F8" w:rsidRPr="009D7251" w:rsidRDefault="000337F8" w:rsidP="003711F1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</w:t>
            </w:r>
            <w:r w:rsidRPr="009D7251">
              <w:rPr>
                <w:rFonts w:cs="Arial"/>
                <w:szCs w:val="20"/>
                <w:lang w:val="en-GB"/>
              </w:rPr>
              <w:t xml:space="preserve"> centre activity is </w:t>
            </w:r>
            <w:r>
              <w:rPr>
                <w:rFonts w:cs="Arial"/>
                <w:szCs w:val="20"/>
                <w:lang w:val="en-GB"/>
              </w:rPr>
              <w:t xml:space="preserve">only </w:t>
            </w:r>
            <w:r w:rsidRPr="009D7251">
              <w:rPr>
                <w:rFonts w:cs="Arial"/>
                <w:szCs w:val="20"/>
                <w:lang w:val="en-GB"/>
              </w:rPr>
              <w:t>established outside an appropriately identified area</w:t>
            </w:r>
            <w:r>
              <w:rPr>
                <w:rFonts w:cs="Arial"/>
                <w:szCs w:val="20"/>
                <w:lang w:val="en-GB"/>
              </w:rPr>
              <w:t xml:space="preserve"> where</w:t>
            </w:r>
            <w:r w:rsidRPr="009D7251">
              <w:rPr>
                <w:rFonts w:cs="Arial"/>
                <w:szCs w:val="20"/>
                <w:lang w:val="en-GB"/>
              </w:rPr>
              <w:t>:</w:t>
            </w:r>
          </w:p>
          <w:p w:rsidR="000337F8" w:rsidRPr="009D7251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(a)</w:t>
            </w:r>
            <w:r w:rsidRPr="009D7251"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Cs w:val="20"/>
                <w:lang w:val="en-GB"/>
              </w:rPr>
              <w:t xml:space="preserve">community </w:t>
            </w:r>
            <w:r w:rsidRPr="009D7251">
              <w:rPr>
                <w:rFonts w:cs="Arial"/>
                <w:szCs w:val="20"/>
                <w:lang w:val="en-GB"/>
              </w:rPr>
              <w:t>need is demonstrated for the centre activity;</w:t>
            </w:r>
          </w:p>
          <w:p w:rsidR="000337F8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(b)</w:t>
            </w:r>
            <w:r w:rsidRPr="009D7251">
              <w:rPr>
                <w:rFonts w:cs="Arial"/>
                <w:szCs w:val="20"/>
                <w:lang w:val="en-GB"/>
              </w:rPr>
              <w:tab/>
              <w:t>the centre activity does not compromise the establishment of consolidated activity centres with distinct roles and functions across the Region;</w:t>
            </w:r>
          </w:p>
          <w:p w:rsidR="000337F8" w:rsidRPr="009D7251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>the centre activity does not compromise the role and function of activity centres in the established hierarchy of activity centres for the Region;</w:t>
            </w:r>
          </w:p>
          <w:p w:rsidR="000337F8" w:rsidRPr="009D7251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(</w:t>
            </w:r>
            <w:r>
              <w:rPr>
                <w:rFonts w:cs="Arial"/>
                <w:szCs w:val="20"/>
                <w:lang w:val="en-GB"/>
              </w:rPr>
              <w:t>d</w:t>
            </w:r>
            <w:r w:rsidRPr="009D7251">
              <w:rPr>
                <w:rFonts w:cs="Arial"/>
                <w:szCs w:val="20"/>
                <w:lang w:val="en-GB"/>
              </w:rPr>
              <w:t>)</w:t>
            </w:r>
            <w:r w:rsidRPr="009D7251">
              <w:rPr>
                <w:rFonts w:cs="Arial"/>
                <w:szCs w:val="20"/>
                <w:lang w:val="en-GB"/>
              </w:rPr>
              <w:tab/>
              <w:t>the centre activity is located in a highly accessible place within the community it serves, not on the periphery;</w:t>
            </w:r>
          </w:p>
          <w:p w:rsidR="000337F8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(</w:t>
            </w:r>
            <w:r>
              <w:rPr>
                <w:rFonts w:cs="Arial"/>
                <w:szCs w:val="20"/>
                <w:lang w:val="en-GB"/>
              </w:rPr>
              <w:t>e</w:t>
            </w:r>
            <w:r w:rsidRPr="009D7251">
              <w:rPr>
                <w:rFonts w:cs="Arial"/>
                <w:szCs w:val="20"/>
                <w:lang w:val="en-GB"/>
              </w:rPr>
              <w:t>)</w:t>
            </w:r>
            <w:r w:rsidRPr="009D7251">
              <w:rPr>
                <w:rFonts w:cs="Arial"/>
                <w:szCs w:val="20"/>
                <w:lang w:val="en-GB"/>
              </w:rPr>
              <w:tab/>
              <w:t>the centre activity does not compromise the character and integrity of surrounding areas.</w:t>
            </w:r>
          </w:p>
          <w:p w:rsidR="000337F8" w:rsidRDefault="000337F8" w:rsidP="003711F1">
            <w:pPr>
              <w:rPr>
                <w:rFonts w:cs="Arial"/>
                <w:i/>
                <w:szCs w:val="20"/>
                <w:lang w:val="en-GB"/>
              </w:rPr>
            </w:pPr>
          </w:p>
          <w:p w:rsidR="000337F8" w:rsidRPr="00A444BD" w:rsidRDefault="000337F8" w:rsidP="003711F1">
            <w:pPr>
              <w:rPr>
                <w:rFonts w:cs="Arial"/>
                <w:sz w:val="16"/>
                <w:szCs w:val="16"/>
                <w:lang w:val="en-GB"/>
              </w:rPr>
            </w:pPr>
            <w:r w:rsidRPr="00A444BD">
              <w:rPr>
                <w:rFonts w:cs="Arial"/>
                <w:sz w:val="16"/>
                <w:szCs w:val="16"/>
                <w:lang w:val="en-GB"/>
              </w:rPr>
              <w:t xml:space="preserve">Note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– An </w:t>
            </w:r>
            <w:r w:rsidRPr="00A444BD">
              <w:rPr>
                <w:rFonts w:cs="Arial"/>
                <w:sz w:val="16"/>
                <w:szCs w:val="16"/>
                <w:lang w:val="en-GB"/>
              </w:rPr>
              <w:t>appropriately identified area includes:</w:t>
            </w:r>
          </w:p>
          <w:p w:rsidR="000337F8" w:rsidRPr="00A444BD" w:rsidRDefault="000337F8" w:rsidP="00CA269E">
            <w:pPr>
              <w:ind w:left="426" w:hanging="426"/>
              <w:rPr>
                <w:rFonts w:cs="Arial"/>
                <w:sz w:val="16"/>
                <w:szCs w:val="16"/>
                <w:lang w:val="en-GB"/>
              </w:rPr>
            </w:pPr>
            <w:r w:rsidRPr="00A444BD">
              <w:rPr>
                <w:rFonts w:cs="Arial"/>
                <w:sz w:val="16"/>
                <w:szCs w:val="16"/>
                <w:lang w:val="en-GB"/>
              </w:rPr>
              <w:t>(a)</w:t>
            </w:r>
            <w:r w:rsidRPr="00A444BD">
              <w:rPr>
                <w:rFonts w:cs="Arial"/>
                <w:sz w:val="16"/>
                <w:szCs w:val="16"/>
                <w:lang w:val="en-GB"/>
              </w:rPr>
              <w:tab/>
              <w:t>an existing Centre zone or Mixed use zone (Precincts provide further clarity); or</w:t>
            </w:r>
          </w:p>
          <w:p w:rsidR="000337F8" w:rsidRPr="00A444BD" w:rsidRDefault="000337F8" w:rsidP="00CA269E">
            <w:pPr>
              <w:ind w:left="426" w:hanging="426"/>
              <w:rPr>
                <w:rFonts w:cs="Arial"/>
                <w:sz w:val="16"/>
                <w:szCs w:val="16"/>
                <w:lang w:val="en-GB"/>
              </w:rPr>
            </w:pPr>
            <w:r w:rsidRPr="00A444BD">
              <w:rPr>
                <w:rFonts w:cs="Arial"/>
                <w:sz w:val="16"/>
                <w:szCs w:val="16"/>
                <w:lang w:val="en-GB"/>
              </w:rPr>
              <w:t>(b)</w:t>
            </w:r>
            <w:r w:rsidRPr="00A444BD">
              <w:rPr>
                <w:rFonts w:cs="Arial"/>
                <w:sz w:val="16"/>
                <w:szCs w:val="16"/>
                <w:lang w:val="en-GB"/>
              </w:rPr>
              <w:tab/>
              <w:t>building containing an existing centre activity; or</w:t>
            </w:r>
          </w:p>
          <w:p w:rsidR="000337F8" w:rsidRDefault="000337F8" w:rsidP="00CA269E">
            <w:pPr>
              <w:ind w:left="426" w:hanging="426"/>
              <w:rPr>
                <w:rFonts w:cs="Arial"/>
                <w:sz w:val="16"/>
                <w:szCs w:val="16"/>
                <w:lang w:val="en-GB"/>
              </w:rPr>
            </w:pPr>
            <w:r w:rsidRPr="00A444BD">
              <w:rPr>
                <w:rFonts w:cs="Arial"/>
                <w:sz w:val="16"/>
                <w:szCs w:val="16"/>
                <w:lang w:val="en-GB"/>
              </w:rPr>
              <w:lastRenderedPageBreak/>
              <w:t>(c)</w:t>
            </w:r>
            <w:r w:rsidRPr="00A444BD">
              <w:rPr>
                <w:rFonts w:cs="Arial"/>
                <w:sz w:val="16"/>
                <w:szCs w:val="16"/>
                <w:lang w:val="en-GB"/>
              </w:rPr>
              <w:tab/>
              <w:t>an identified centre precinct within a Local Plan area.</w:t>
            </w:r>
          </w:p>
          <w:p w:rsidR="000337F8" w:rsidRDefault="000337F8" w:rsidP="003711F1">
            <w:pPr>
              <w:ind w:left="567" w:hanging="567"/>
              <w:rPr>
                <w:rFonts w:cs="Arial"/>
                <w:sz w:val="16"/>
                <w:szCs w:val="16"/>
                <w:lang w:val="en-GB"/>
              </w:rPr>
            </w:pPr>
          </w:p>
          <w:p w:rsidR="000337F8" w:rsidRDefault="000337F8" w:rsidP="0084004B">
            <w:pPr>
              <w:rPr>
                <w:rFonts w:cs="Arial"/>
                <w:sz w:val="16"/>
                <w:szCs w:val="16"/>
                <w:lang w:val="en-GB"/>
              </w:rPr>
            </w:pPr>
            <w:r w:rsidRPr="00E039A3">
              <w:rPr>
                <w:rFonts w:cs="Arial"/>
                <w:sz w:val="16"/>
                <w:szCs w:val="16"/>
              </w:rPr>
              <w:t>Note – Refer to the definition of Centre zone contained in Schedule 1.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:rsidR="000337F8" w:rsidRDefault="000337F8" w:rsidP="0084004B">
            <w:pPr>
              <w:rPr>
                <w:rFonts w:cs="Arial"/>
                <w:sz w:val="16"/>
                <w:szCs w:val="16"/>
                <w:lang w:val="en-GB"/>
              </w:rPr>
            </w:pPr>
          </w:p>
          <w:p w:rsidR="000337F8" w:rsidRPr="0084004B" w:rsidRDefault="000337F8" w:rsidP="00DB6D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Note –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Guidance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on demonstrating compliance with the Performance Outcome is outlined within Planning scheme policy – Activity centres.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0337F8" w:rsidRPr="00B624E0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B624E0">
              <w:rPr>
                <w:rFonts w:cs="Arial"/>
                <w:b/>
                <w:szCs w:val="20"/>
                <w:lang w:val="en-GB"/>
              </w:rPr>
              <w:lastRenderedPageBreak/>
              <w:t>AO</w:t>
            </w:r>
            <w:r>
              <w:rPr>
                <w:rFonts w:cs="Arial"/>
                <w:b/>
                <w:szCs w:val="20"/>
                <w:lang w:val="en-GB"/>
              </w:rPr>
              <w:t>4.1</w:t>
            </w:r>
          </w:p>
          <w:p w:rsidR="000337F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0337F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0337F8" w:rsidRPr="005F28D8" w:rsidRDefault="000337F8" w:rsidP="00B5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B624E0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2C79EE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3711F1">
            <w:pPr>
              <w:rPr>
                <w:rStyle w:val="Strong"/>
              </w:rPr>
            </w:pPr>
            <w:r>
              <w:rPr>
                <w:rStyle w:val="Strong"/>
              </w:rPr>
              <w:t>Design</w:t>
            </w: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5</w:t>
            </w:r>
          </w:p>
          <w:p w:rsidR="000337F8" w:rsidRPr="009D7251" w:rsidRDefault="000337F8" w:rsidP="003711F1">
            <w:pPr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 xml:space="preserve">The </w:t>
            </w:r>
            <w:r>
              <w:rPr>
                <w:rFonts w:cs="Arial"/>
                <w:szCs w:val="20"/>
                <w:lang w:val="en-GB"/>
              </w:rPr>
              <w:t>design</w:t>
            </w:r>
            <w:r w:rsidRPr="009D7251">
              <w:rPr>
                <w:rFonts w:cs="Arial"/>
                <w:szCs w:val="20"/>
                <w:lang w:val="en-GB"/>
              </w:rPr>
              <w:t xml:space="preserve"> contributes to the character and amenity of streets and </w:t>
            </w:r>
            <w:r>
              <w:rPr>
                <w:rFonts w:cs="Arial"/>
                <w:szCs w:val="20"/>
                <w:lang w:val="en-GB"/>
              </w:rPr>
              <w:t xml:space="preserve">adjoining </w:t>
            </w:r>
            <w:r w:rsidRPr="009D7251">
              <w:rPr>
                <w:rFonts w:cs="Arial"/>
                <w:szCs w:val="20"/>
                <w:lang w:val="en-GB"/>
              </w:rPr>
              <w:t xml:space="preserve">premises </w:t>
            </w:r>
            <w:r>
              <w:rPr>
                <w:rFonts w:cs="Arial"/>
                <w:szCs w:val="20"/>
                <w:lang w:val="en-GB"/>
              </w:rPr>
              <w:t>by establishing</w:t>
            </w:r>
            <w:r w:rsidRPr="009D7251">
              <w:rPr>
                <w:rFonts w:cs="Arial"/>
                <w:szCs w:val="20"/>
                <w:lang w:val="en-GB"/>
              </w:rPr>
              <w:t xml:space="preserve"> a built form that:</w:t>
            </w:r>
          </w:p>
          <w:p w:rsidR="000337F8" w:rsidRPr="005F28D8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(a)</w:t>
            </w:r>
            <w:r w:rsidRPr="009D7251"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Cs w:val="20"/>
                <w:lang w:val="en-GB"/>
              </w:rPr>
              <w:t>ensures</w:t>
            </w:r>
            <w:r w:rsidRPr="009D7251">
              <w:rPr>
                <w:rFonts w:cs="Arial"/>
                <w:szCs w:val="20"/>
                <w:lang w:val="en-GB"/>
              </w:rPr>
              <w:t xml:space="preserve"> buildings are closely related to streets, public spaces and pedestrian </w:t>
            </w:r>
            <w:r w:rsidRPr="005F28D8">
              <w:rPr>
                <w:rFonts w:cs="Arial"/>
                <w:szCs w:val="20"/>
                <w:lang w:val="en-GB"/>
              </w:rPr>
              <w:t xml:space="preserve">routes; </w:t>
            </w:r>
          </w:p>
          <w:p w:rsidR="000337F8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5F28D8">
              <w:rPr>
                <w:rFonts w:cs="Arial"/>
                <w:szCs w:val="20"/>
                <w:lang w:val="en-GB"/>
              </w:rPr>
              <w:t>(b)</w:t>
            </w:r>
            <w:r w:rsidRPr="005F28D8">
              <w:rPr>
                <w:rFonts w:cs="Arial"/>
                <w:szCs w:val="20"/>
                <w:lang w:val="en-GB"/>
              </w:rPr>
              <w:tab/>
              <w:t>has areas free of buildings and enclosed spaces to facilitate external pedestrian movement, vehicular circulation, landscaping and other functions</w:t>
            </w:r>
            <w:r>
              <w:rPr>
                <w:rFonts w:cs="Arial"/>
                <w:szCs w:val="20"/>
                <w:lang w:val="en-GB"/>
              </w:rPr>
              <w:t xml:space="preserve"> associated with the building.</w:t>
            </w:r>
          </w:p>
          <w:p w:rsidR="000337F8" w:rsidRDefault="000337F8" w:rsidP="003711F1">
            <w:pPr>
              <w:ind w:left="567" w:hanging="567"/>
              <w:rPr>
                <w:rFonts w:cs="Arial"/>
                <w:szCs w:val="20"/>
                <w:lang w:val="en-GB"/>
              </w:rPr>
            </w:pPr>
          </w:p>
          <w:p w:rsidR="000337F8" w:rsidRPr="009D7251" w:rsidRDefault="000337F8" w:rsidP="00DB6D30">
            <w:pPr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Note –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Guidance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on demonstrating compliance with the Performance Outcome is outlined within Planning scheme policy – Activity centres.</w:t>
            </w: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5.1</w:t>
            </w:r>
          </w:p>
          <w:p w:rsidR="000337F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3E2E6D">
              <w:rPr>
                <w:rFonts w:cs="Arial"/>
                <w:szCs w:val="20"/>
                <w:lang w:val="en-GB"/>
              </w:rPr>
              <w:t xml:space="preserve">No acceptable outcomes </w:t>
            </w:r>
            <w:r>
              <w:rPr>
                <w:rFonts w:cs="Arial"/>
                <w:szCs w:val="20"/>
                <w:lang w:val="en-GB"/>
              </w:rPr>
              <w:t>are provided.</w:t>
            </w:r>
          </w:p>
          <w:p w:rsidR="000337F8" w:rsidRPr="003E2E6D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0337F8" w:rsidRPr="005F28D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6</w:t>
            </w:r>
          </w:p>
          <w:p w:rsidR="000337F8" w:rsidRDefault="000337F8" w:rsidP="003711F1">
            <w:pPr>
              <w:rPr>
                <w:rFonts w:cs="Arial"/>
                <w:sz w:val="16"/>
                <w:szCs w:val="16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 xml:space="preserve">Design actively contributes to </w:t>
            </w:r>
            <w:r>
              <w:rPr>
                <w:rFonts w:cs="Arial"/>
                <w:szCs w:val="20"/>
                <w:lang w:val="en-GB"/>
              </w:rPr>
              <w:t xml:space="preserve">the </w:t>
            </w:r>
            <w:r w:rsidRPr="009D7251">
              <w:rPr>
                <w:rFonts w:cs="Arial"/>
                <w:szCs w:val="20"/>
                <w:lang w:val="en-GB"/>
              </w:rPr>
              <w:t xml:space="preserve">safety of users of the </w:t>
            </w:r>
            <w:r>
              <w:rPr>
                <w:rFonts w:cs="Arial"/>
                <w:szCs w:val="20"/>
                <w:lang w:val="en-GB"/>
              </w:rPr>
              <w:t>development</w:t>
            </w:r>
            <w:r w:rsidRPr="009D7251">
              <w:rPr>
                <w:rFonts w:cs="Arial"/>
                <w:szCs w:val="20"/>
                <w:lang w:val="en-GB"/>
              </w:rPr>
              <w:t>.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:rsidR="000337F8" w:rsidRDefault="000337F8" w:rsidP="003711F1">
            <w:pPr>
              <w:rPr>
                <w:rFonts w:cs="Arial"/>
                <w:sz w:val="16"/>
                <w:szCs w:val="16"/>
                <w:lang w:val="en-GB"/>
              </w:rPr>
            </w:pPr>
          </w:p>
          <w:p w:rsidR="000337F8" w:rsidRPr="009D7251" w:rsidRDefault="000337F8" w:rsidP="00FB7DF7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Note –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Guidance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to demonstrating compliance with the Performance Outcome is outlined in Planning scheme policy – Crime prevention through environmental design (CPTED).</w:t>
            </w: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6.1</w:t>
            </w:r>
          </w:p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 xml:space="preserve">Crime </w:t>
            </w:r>
            <w:r>
              <w:rPr>
                <w:rFonts w:cs="Arial"/>
                <w:szCs w:val="20"/>
                <w:lang w:val="en-GB"/>
              </w:rPr>
              <w:t>p</w:t>
            </w:r>
            <w:r w:rsidRPr="009D7251">
              <w:rPr>
                <w:rFonts w:cs="Arial"/>
                <w:szCs w:val="20"/>
                <w:lang w:val="en-GB"/>
              </w:rPr>
              <w:t xml:space="preserve">revention </w:t>
            </w:r>
            <w:r>
              <w:rPr>
                <w:rFonts w:cs="Arial"/>
                <w:szCs w:val="20"/>
                <w:lang w:val="en-GB"/>
              </w:rPr>
              <w:t>t</w:t>
            </w:r>
            <w:r w:rsidRPr="009D7251">
              <w:rPr>
                <w:rFonts w:cs="Arial"/>
                <w:szCs w:val="20"/>
                <w:lang w:val="en-GB"/>
              </w:rPr>
              <w:t xml:space="preserve">hrough </w:t>
            </w:r>
            <w:r>
              <w:rPr>
                <w:rFonts w:cs="Arial"/>
                <w:szCs w:val="20"/>
                <w:lang w:val="en-GB"/>
              </w:rPr>
              <w:t>e</w:t>
            </w:r>
            <w:r w:rsidRPr="009D7251">
              <w:rPr>
                <w:rFonts w:cs="Arial"/>
                <w:szCs w:val="20"/>
                <w:lang w:val="en-GB"/>
              </w:rPr>
              <w:t xml:space="preserve">nvironmental </w:t>
            </w:r>
            <w:r>
              <w:rPr>
                <w:rFonts w:cs="Arial"/>
                <w:szCs w:val="20"/>
                <w:lang w:val="en-GB"/>
              </w:rPr>
              <w:t>d</w:t>
            </w:r>
            <w:r w:rsidRPr="009D7251">
              <w:rPr>
                <w:rFonts w:cs="Arial"/>
                <w:szCs w:val="20"/>
                <w:lang w:val="en-GB"/>
              </w:rPr>
              <w:t>esign principles are integrated into the form and design of the development.</w:t>
            </w:r>
          </w:p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0337F8" w:rsidRPr="005F28D8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2C79EE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0337F8" w:rsidRDefault="000337F8" w:rsidP="005C63CA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External appearance </w:t>
            </w: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5F28D8" w:rsidRDefault="000337F8" w:rsidP="005C63CA">
            <w:pPr>
              <w:keepNext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 w:rsidRPr="005F28D8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7</w:t>
            </w:r>
          </w:p>
          <w:p w:rsidR="000337F8" w:rsidRPr="005F28D8" w:rsidRDefault="000337F8" w:rsidP="005C63CA">
            <w:pPr>
              <w:keepNext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5F28D8">
              <w:rPr>
                <w:rFonts w:cs="Arial"/>
                <w:szCs w:val="20"/>
                <w:lang w:val="en-GB"/>
              </w:rPr>
              <w:t>Building facades are articulated and finished in ways that respond to notable, attractive elements of surrounding buildings, and enhances existing streetscape character.</w:t>
            </w:r>
          </w:p>
          <w:p w:rsidR="000337F8" w:rsidRPr="005F28D8" w:rsidRDefault="000337F8" w:rsidP="005C63CA">
            <w:pPr>
              <w:keepNext/>
              <w:ind w:left="459" w:hanging="459"/>
              <w:rPr>
                <w:rFonts w:eastAsiaTheme="minorEastAsia" w:cs="Arial"/>
                <w:szCs w:val="20"/>
                <w:lang w:val="en-GB" w:eastAsia="en-AU"/>
              </w:rPr>
            </w:pPr>
          </w:p>
        </w:tc>
        <w:tc>
          <w:tcPr>
            <w:tcW w:w="1126" w:type="pct"/>
            <w:gridSpan w:val="2"/>
          </w:tcPr>
          <w:p w:rsidR="000337F8" w:rsidRPr="005F28D8" w:rsidRDefault="000337F8" w:rsidP="005C63C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val="en-GB" w:eastAsia="en-AU"/>
              </w:rPr>
            </w:pPr>
            <w:r w:rsidRPr="005F28D8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7</w:t>
            </w:r>
            <w:r w:rsidRPr="005F28D8">
              <w:rPr>
                <w:rFonts w:cs="Arial"/>
                <w:b/>
                <w:szCs w:val="20"/>
                <w:lang w:val="en-GB"/>
              </w:rPr>
              <w:t>.1</w:t>
            </w:r>
          </w:p>
          <w:p w:rsidR="000337F8" w:rsidRPr="005F28D8" w:rsidRDefault="000337F8" w:rsidP="005C63C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5F28D8">
              <w:rPr>
                <w:rFonts w:cs="Arial"/>
                <w:szCs w:val="20"/>
                <w:lang w:val="en-GB"/>
              </w:rPr>
              <w:t>Building facades are articulated and finished with design elements such as:</w:t>
            </w:r>
          </w:p>
          <w:p w:rsidR="000337F8" w:rsidRPr="005F28D8" w:rsidRDefault="000337F8" w:rsidP="005C63CA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5F28D8">
              <w:rPr>
                <w:rFonts w:cs="Arial"/>
                <w:szCs w:val="20"/>
                <w:lang w:val="en-GB"/>
              </w:rPr>
              <w:t>(a)</w:t>
            </w:r>
            <w:r w:rsidRPr="005F28D8">
              <w:rPr>
                <w:rFonts w:cs="Arial"/>
                <w:szCs w:val="20"/>
                <w:lang w:val="en-GB"/>
              </w:rPr>
              <w:tab/>
              <w:t>variations in plan shape, such as curves, steps, recesses or projections;</w:t>
            </w:r>
          </w:p>
          <w:p w:rsidR="000337F8" w:rsidRPr="005F28D8" w:rsidRDefault="000337F8" w:rsidP="005C63CA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5F28D8">
              <w:rPr>
                <w:rFonts w:cs="Arial"/>
                <w:szCs w:val="20"/>
                <w:lang w:val="en-GB"/>
              </w:rPr>
              <w:t>(b)</w:t>
            </w:r>
            <w:r w:rsidRPr="005F28D8">
              <w:rPr>
                <w:rFonts w:cs="Arial"/>
                <w:szCs w:val="20"/>
                <w:lang w:val="en-GB"/>
              </w:rPr>
              <w:tab/>
              <w:t>variations in treatment and patterning of windows, sun protection devices, or other elements of the facade;</w:t>
            </w:r>
          </w:p>
          <w:p w:rsidR="000337F8" w:rsidRPr="005F28D8" w:rsidRDefault="000337F8" w:rsidP="005C63CA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5F28D8">
              <w:rPr>
                <w:rFonts w:cs="Arial"/>
                <w:szCs w:val="20"/>
                <w:lang w:val="en-GB"/>
              </w:rPr>
              <w:t>(c)</w:t>
            </w:r>
            <w:r w:rsidRPr="005F28D8">
              <w:rPr>
                <w:rFonts w:cs="Arial"/>
                <w:szCs w:val="20"/>
                <w:lang w:val="en-GB"/>
              </w:rPr>
              <w:tab/>
              <w:t>elements of finer scale than the main structural framing;</w:t>
            </w:r>
          </w:p>
          <w:p w:rsidR="000337F8" w:rsidRPr="005F28D8" w:rsidRDefault="000337F8" w:rsidP="005C63CA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5F28D8">
              <w:rPr>
                <w:rFonts w:cs="Arial"/>
                <w:szCs w:val="20"/>
                <w:lang w:val="en-GB"/>
              </w:rPr>
              <w:t>(d)</w:t>
            </w:r>
            <w:r w:rsidRPr="005F28D8">
              <w:rPr>
                <w:rFonts w:cs="Arial"/>
                <w:szCs w:val="20"/>
                <w:lang w:val="en-GB"/>
              </w:rPr>
              <w:tab/>
              <w:t>planting at any or all levels;</w:t>
            </w:r>
          </w:p>
          <w:p w:rsidR="000337F8" w:rsidRPr="005F28D8" w:rsidRDefault="000337F8" w:rsidP="005C63CA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val="en-GB" w:eastAsia="en-AU"/>
              </w:rPr>
            </w:pPr>
            <w:r w:rsidRPr="005F28D8">
              <w:rPr>
                <w:rFonts w:cs="Arial"/>
                <w:szCs w:val="20"/>
                <w:lang w:val="en-GB"/>
              </w:rPr>
              <w:t>(e)</w:t>
            </w:r>
            <w:r w:rsidRPr="005F28D8">
              <w:rPr>
                <w:rFonts w:cs="Arial"/>
                <w:szCs w:val="20"/>
                <w:lang w:val="en-GB"/>
              </w:rPr>
              <w:tab/>
              <w:t>murals and artworks.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5F28D8" w:rsidRDefault="000337F8" w:rsidP="005C63CA">
            <w:pPr>
              <w:keepNext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5F28D8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5F28D8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8</w:t>
            </w:r>
          </w:p>
          <w:p w:rsidR="000337F8" w:rsidRPr="005F28D8" w:rsidRDefault="000337F8" w:rsidP="003711F1">
            <w:pPr>
              <w:rPr>
                <w:rFonts w:cs="Arial"/>
                <w:szCs w:val="20"/>
                <w:lang w:val="en-GB"/>
              </w:rPr>
            </w:pPr>
            <w:r w:rsidRPr="005F28D8">
              <w:rPr>
                <w:rFonts w:cs="Arial"/>
                <w:szCs w:val="20"/>
                <w:lang w:val="en-GB"/>
              </w:rPr>
              <w:t>Top levels of buildings and roof forms are shaped to provide visually attractive skyline silhouettes to screen mechanical plant from view.</w:t>
            </w:r>
          </w:p>
        </w:tc>
        <w:tc>
          <w:tcPr>
            <w:tcW w:w="1126" w:type="pct"/>
            <w:gridSpan w:val="2"/>
          </w:tcPr>
          <w:p w:rsidR="000337F8" w:rsidRPr="005F28D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5F28D8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8</w:t>
            </w:r>
            <w:r w:rsidRPr="005F28D8">
              <w:rPr>
                <w:rFonts w:cs="Arial"/>
                <w:b/>
                <w:szCs w:val="20"/>
                <w:lang w:val="en-GB"/>
              </w:rPr>
              <w:t>.1</w:t>
            </w:r>
          </w:p>
          <w:p w:rsidR="000337F8" w:rsidRPr="005F28D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F28D8">
              <w:rPr>
                <w:rFonts w:cs="Arial"/>
                <w:szCs w:val="20"/>
                <w:lang w:val="en-GB"/>
              </w:rPr>
              <w:t xml:space="preserve">No acceptable outcomes are </w:t>
            </w:r>
            <w:r>
              <w:rPr>
                <w:rFonts w:cs="Arial"/>
                <w:szCs w:val="20"/>
                <w:lang w:val="en-GB"/>
              </w:rPr>
              <w:t>provided</w:t>
            </w:r>
            <w:r w:rsidRPr="005F28D8">
              <w:rPr>
                <w:rFonts w:cs="Arial"/>
                <w:szCs w:val="20"/>
                <w:lang w:val="en-GB"/>
              </w:rPr>
              <w:t>.</w:t>
            </w:r>
          </w:p>
          <w:p w:rsidR="000337F8" w:rsidRPr="005F28D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5F28D8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2C79EE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3711F1">
            <w:pPr>
              <w:rPr>
                <w:rStyle w:val="Strong"/>
              </w:rPr>
            </w:pPr>
            <w:r>
              <w:rPr>
                <w:rStyle w:val="Strong"/>
              </w:rPr>
              <w:t>Frontages</w:t>
            </w: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9</w:t>
            </w:r>
          </w:p>
          <w:p w:rsidR="000337F8" w:rsidRDefault="000337F8" w:rsidP="003711F1">
            <w:pPr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Buildings located in prominent positions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Pr="009D7251">
              <w:rPr>
                <w:rFonts w:cs="Arial"/>
                <w:szCs w:val="20"/>
                <w:lang w:val="en-GB"/>
              </w:rPr>
              <w:t xml:space="preserve">are designed to express or emphasise the importance </w:t>
            </w:r>
            <w:r>
              <w:rPr>
                <w:rFonts w:cs="Arial"/>
                <w:szCs w:val="20"/>
                <w:lang w:val="en-GB"/>
              </w:rPr>
              <w:t>as landmarks and assist in place making and way finding, where they are located:</w:t>
            </w:r>
          </w:p>
          <w:p w:rsidR="000337F8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  <w:t>at an identified gateway; or</w:t>
            </w:r>
          </w:p>
          <w:p w:rsidR="000337F8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>on a corner of two high order streets; or</w:t>
            </w:r>
          </w:p>
          <w:p w:rsidR="000337F8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>have direct frontage to major public spaces; or</w:t>
            </w:r>
          </w:p>
          <w:p w:rsidR="000337F8" w:rsidRPr="009D7251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(d)</w:t>
            </w:r>
            <w:r>
              <w:rPr>
                <w:rFonts w:cs="Arial"/>
                <w:szCs w:val="20"/>
                <w:lang w:val="en-GB"/>
              </w:rPr>
              <w:tab/>
              <w:t>at the terminus of important vistas.</w:t>
            </w: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9.1</w:t>
            </w:r>
          </w:p>
          <w:p w:rsidR="000337F8" w:rsidRPr="00821F3A" w:rsidRDefault="000337F8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 w:val="restart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10</w:t>
            </w:r>
          </w:p>
          <w:p w:rsidR="000337F8" w:rsidRDefault="000337F8" w:rsidP="0084004B">
            <w:pPr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Development results in a</w:t>
            </w:r>
            <w:r>
              <w:rPr>
                <w:rFonts w:cs="Arial"/>
                <w:szCs w:val="20"/>
                <w:lang w:val="en-GB"/>
              </w:rPr>
              <w:t>n</w:t>
            </w:r>
            <w:r w:rsidRPr="009D7251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active</w:t>
            </w:r>
            <w:r w:rsidRPr="009D7251">
              <w:rPr>
                <w:rFonts w:cs="Arial"/>
                <w:szCs w:val="20"/>
                <w:lang w:val="en-GB"/>
              </w:rPr>
              <w:t xml:space="preserve"> streetscape</w:t>
            </w:r>
            <w:r>
              <w:rPr>
                <w:rFonts w:cs="Arial"/>
                <w:szCs w:val="20"/>
                <w:lang w:val="en-GB"/>
              </w:rPr>
              <w:t xml:space="preserve"> that:</w:t>
            </w:r>
          </w:p>
          <w:p w:rsidR="000337F8" w:rsidRDefault="000337F8" w:rsidP="00CA269E">
            <w:pPr>
              <w:ind w:left="426" w:hanging="426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9D7251">
              <w:rPr>
                <w:rFonts w:cs="Arial"/>
                <w:szCs w:val="20"/>
                <w:lang w:val="en-GB"/>
              </w:rPr>
              <w:t>contributes to a high level of amenity for patrons and pedestrians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0337F8" w:rsidRPr="0055614F" w:rsidRDefault="000337F8" w:rsidP="00CA269E">
            <w:pPr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 xml:space="preserve">facilitates interactions between the </w:t>
            </w:r>
            <w:r>
              <w:rPr>
                <w:rFonts w:cs="Arial"/>
                <w:szCs w:val="20"/>
                <w:lang w:val="en-GB"/>
              </w:rPr>
              <w:tab/>
              <w:t>public and private realm through active frontages</w:t>
            </w:r>
            <w:r w:rsidRPr="009D7251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10.1</w:t>
            </w:r>
          </w:p>
          <w:p w:rsidR="000337F8" w:rsidRDefault="000337F8" w:rsidP="00EA36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D7251">
              <w:rPr>
                <w:rFonts w:cs="Arial"/>
                <w:szCs w:val="20"/>
              </w:rPr>
              <w:t>G</w:t>
            </w:r>
            <w:r>
              <w:rPr>
                <w:rFonts w:cs="Arial"/>
                <w:szCs w:val="20"/>
              </w:rPr>
              <w:t>round floor levels of buildings (</w:t>
            </w:r>
            <w:r w:rsidRPr="009D7251">
              <w:rPr>
                <w:rFonts w:cs="Arial"/>
                <w:szCs w:val="20"/>
              </w:rPr>
              <w:t xml:space="preserve">particularly </w:t>
            </w:r>
            <w:r>
              <w:rPr>
                <w:rFonts w:cs="Arial"/>
                <w:szCs w:val="20"/>
              </w:rPr>
              <w:t xml:space="preserve">of </w:t>
            </w:r>
            <w:r w:rsidRPr="009D7251">
              <w:rPr>
                <w:rFonts w:cs="Arial"/>
                <w:szCs w:val="20"/>
              </w:rPr>
              <w:t>shopping centres</w:t>
            </w:r>
            <w:r>
              <w:rPr>
                <w:rFonts w:cs="Arial"/>
                <w:szCs w:val="20"/>
              </w:rPr>
              <w:t>, or buildings within the Principal centre zone and Major centre zone)</w:t>
            </w:r>
            <w:r w:rsidRPr="009D7251">
              <w:rPr>
                <w:rFonts w:cs="Arial"/>
                <w:szCs w:val="20"/>
              </w:rPr>
              <w:t xml:space="preserve"> incorporates activities that are likely to foster casual, social and business interaction for extended periods (such as shops, food </w:t>
            </w:r>
            <w:r>
              <w:rPr>
                <w:rFonts w:cs="Arial"/>
                <w:szCs w:val="20"/>
              </w:rPr>
              <w:t>and drink outlets and the like).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</w:tcPr>
          <w:p w:rsidR="000337F8" w:rsidRPr="0055614F" w:rsidRDefault="000337F8" w:rsidP="003711F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10.2</w:t>
            </w:r>
          </w:p>
          <w:p w:rsidR="000337F8" w:rsidRDefault="000337F8" w:rsidP="003711F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Where a building has frontage to </w:t>
            </w:r>
            <w:r w:rsidRPr="009D7251">
              <w:rPr>
                <w:rFonts w:cs="Arial"/>
                <w:szCs w:val="20"/>
              </w:rPr>
              <w:t>a public street or other public or semi-public space</w:t>
            </w:r>
            <w:r>
              <w:rPr>
                <w:rFonts w:cs="Arial"/>
                <w:szCs w:val="20"/>
              </w:rPr>
              <w:t>, a active frontage is provided which includes a minimum of 50% of thae facade</w:t>
            </w:r>
            <w:r w:rsidRPr="009D725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consisting of</w:t>
            </w:r>
            <w:r w:rsidRPr="009D7251">
              <w:rPr>
                <w:rFonts w:cs="Arial"/>
                <w:szCs w:val="20"/>
              </w:rPr>
              <w:t xml:space="preserve"> transparent or semi-trans</w:t>
            </w:r>
            <w:r>
              <w:rPr>
                <w:rFonts w:cs="Arial"/>
                <w:szCs w:val="20"/>
              </w:rPr>
              <w:t>parent windows and glazed doors.</w:t>
            </w:r>
          </w:p>
          <w:p w:rsidR="000337F8" w:rsidRDefault="000337F8" w:rsidP="003711F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  <w:shd w:val="clear" w:color="auto" w:fill="auto"/>
          </w:tcPr>
          <w:p w:rsidR="000337F8" w:rsidRPr="0084004B" w:rsidRDefault="000337F8" w:rsidP="0084004B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:rsidR="000337F8" w:rsidRPr="0084004B" w:rsidRDefault="000337F8" w:rsidP="008400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84004B">
              <w:rPr>
                <w:rFonts w:cs="Arial"/>
                <w:b/>
                <w:szCs w:val="20"/>
              </w:rPr>
              <w:t>AO1</w:t>
            </w:r>
            <w:r>
              <w:rPr>
                <w:rFonts w:cs="Arial"/>
                <w:b/>
                <w:szCs w:val="20"/>
              </w:rPr>
              <w:t>0</w:t>
            </w:r>
            <w:r w:rsidRPr="0084004B">
              <w:rPr>
                <w:rFonts w:cs="Arial"/>
                <w:b/>
                <w:szCs w:val="20"/>
              </w:rPr>
              <w:t>.3</w:t>
            </w:r>
          </w:p>
          <w:p w:rsidR="000337F8" w:rsidRPr="0084004B" w:rsidRDefault="000337F8" w:rsidP="008400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E244E3">
              <w:rPr>
                <w:rFonts w:cs="Arial"/>
                <w:szCs w:val="20"/>
              </w:rPr>
              <w:t>Frontages to public streets or other public or semi-public spaces are articulated with vertical elements to emphasise a finer-grain and human scale to the building frontage.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84004B" w:rsidRDefault="000337F8" w:rsidP="0084004B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</w:tcPr>
          <w:p w:rsidR="000337F8" w:rsidRPr="0055614F" w:rsidRDefault="000337F8" w:rsidP="003711F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10.4</w:t>
            </w:r>
          </w:p>
          <w:p w:rsidR="000337F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 xml:space="preserve">Where buildings are constructed up to the road alignment, a cantilever awning </w:t>
            </w:r>
            <w:r>
              <w:rPr>
                <w:rFonts w:cs="Arial"/>
                <w:szCs w:val="20"/>
                <w:lang w:val="en-GB"/>
              </w:rPr>
              <w:t>is to</w:t>
            </w:r>
            <w:r w:rsidRPr="009D7251">
              <w:rPr>
                <w:rFonts w:cs="Arial"/>
                <w:szCs w:val="20"/>
                <w:lang w:val="en-GB"/>
              </w:rPr>
              <w:t xml:space="preserve"> be </w:t>
            </w:r>
            <w:r>
              <w:rPr>
                <w:rFonts w:cs="Arial"/>
                <w:szCs w:val="20"/>
                <w:lang w:val="en-GB"/>
              </w:rPr>
              <w:t>provided</w:t>
            </w:r>
            <w:r w:rsidRPr="009D7251">
              <w:rPr>
                <w:rFonts w:cs="Arial"/>
                <w:szCs w:val="20"/>
                <w:lang w:val="en-GB"/>
              </w:rPr>
              <w:t xml:space="preserve"> over the footpath, to the full frontage of the site, with a setback of 1 metre from the face of the k</w:t>
            </w:r>
            <w:r>
              <w:rPr>
                <w:rFonts w:cs="Arial"/>
                <w:szCs w:val="20"/>
                <w:lang w:val="en-GB"/>
              </w:rPr>
              <w:t>erb, and:</w:t>
            </w:r>
          </w:p>
          <w:p w:rsidR="000337F8" w:rsidRDefault="000337F8" w:rsidP="00CA269E">
            <w:pPr>
              <w:ind w:left="486" w:hanging="4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9D7251">
              <w:rPr>
                <w:rFonts w:cs="Arial"/>
                <w:szCs w:val="20"/>
                <w:lang w:val="en-GB"/>
              </w:rPr>
              <w:t xml:space="preserve">with a maximum height of </w:t>
            </w:r>
            <w:r>
              <w:rPr>
                <w:rFonts w:cs="Arial"/>
                <w:szCs w:val="20"/>
                <w:lang w:val="en-GB"/>
              </w:rPr>
              <w:t>3</w:t>
            </w:r>
            <w:r w:rsidRPr="009D7251">
              <w:rPr>
                <w:rFonts w:cs="Arial"/>
                <w:szCs w:val="20"/>
                <w:lang w:val="en-GB"/>
              </w:rPr>
              <w:t xml:space="preserve"> metres from the footpath level to the underside of the awning;</w:t>
            </w:r>
            <w:r>
              <w:rPr>
                <w:rFonts w:cs="Arial"/>
                <w:szCs w:val="20"/>
                <w:lang w:val="en-GB"/>
              </w:rPr>
              <w:t xml:space="preserve"> or</w:t>
            </w:r>
          </w:p>
          <w:p w:rsidR="000337F8" w:rsidRDefault="000337F8" w:rsidP="00CA269E">
            <w:pPr>
              <w:ind w:left="486" w:hanging="4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>at a height consistent with, or stepping up/down to, the awning structures on buildings on adjacent sites.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</w:tcPr>
          <w:p w:rsidR="000337F8" w:rsidRPr="0055614F" w:rsidRDefault="000337F8" w:rsidP="003711F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10.5</w:t>
            </w:r>
          </w:p>
          <w:p w:rsidR="000337F8" w:rsidRPr="009D7251" w:rsidRDefault="000337F8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9D7251">
              <w:rPr>
                <w:rFonts w:cs="Arial"/>
                <w:szCs w:val="20"/>
                <w:lang w:val="en-GB"/>
              </w:rPr>
              <w:t xml:space="preserve">A pedestrian footpath is provided for the full frontage of the site. The footpath is constructed in accordance with the design guidelines set out in the </w:t>
            </w:r>
            <w:r>
              <w:rPr>
                <w:rFonts w:cs="Arial"/>
                <w:szCs w:val="20"/>
                <w:lang w:val="en-GB"/>
              </w:rPr>
              <w:t>Infrastructure works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</w:tcPr>
          <w:p w:rsidR="000337F8" w:rsidRPr="0055614F" w:rsidRDefault="000337F8" w:rsidP="003711F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126" w:type="pct"/>
            <w:gridSpan w:val="2"/>
          </w:tcPr>
          <w:p w:rsidR="000337F8" w:rsidRDefault="000337F8" w:rsidP="006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AO10.6</w:t>
            </w:r>
          </w:p>
          <w:p w:rsidR="000337F8" w:rsidRPr="009D7251" w:rsidDel="0078602D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Noise mitigation is achieved through architectural attenuation of the built form.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Default="000337F8" w:rsidP="00660A2D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</w:tcPr>
          <w:p w:rsidR="000337F8" w:rsidRPr="0055614F" w:rsidRDefault="000337F8" w:rsidP="003711F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126" w:type="pct"/>
            <w:gridSpan w:val="2"/>
          </w:tcPr>
          <w:p w:rsidR="000337F8" w:rsidRDefault="000337F8" w:rsidP="006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AO10.7</w:t>
            </w:r>
          </w:p>
          <w:p w:rsidR="000337F8" w:rsidRDefault="000337F8" w:rsidP="006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Noise mitigation does not involve an acoustic barrier or acoustic fence between the front façade of the building and the street. </w:t>
            </w:r>
          </w:p>
          <w:p w:rsidR="000337F8" w:rsidRDefault="000337F8" w:rsidP="006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Default="000337F8" w:rsidP="00660A2D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2C79EE" w:rsidTr="000337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Pr="002C79EE" w:rsidRDefault="000337F8">
            <w:r>
              <w:rPr>
                <w:rStyle w:val="Strong"/>
              </w:rPr>
              <w:lastRenderedPageBreak/>
              <w:t>Access</w:t>
            </w:r>
          </w:p>
        </w:tc>
        <w:tc>
          <w:tcPr>
            <w:tcW w:w="1668" w:type="pct"/>
          </w:tcPr>
          <w:p w:rsidR="000337F8" w:rsidRPr="002C79EE" w:rsidRDefault="00033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  <w:trHeight w:val="4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 w:val="restart"/>
          </w:tcPr>
          <w:p w:rsidR="000337F8" w:rsidRPr="009D7251" w:rsidRDefault="000337F8" w:rsidP="003711F1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9D725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11</w:t>
            </w:r>
          </w:p>
          <w:p w:rsidR="000337F8" w:rsidRPr="009D7251" w:rsidRDefault="000337F8" w:rsidP="003711F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Development</w:t>
            </w:r>
            <w:r w:rsidRPr="009D7251">
              <w:rPr>
                <w:rFonts w:cs="Arial"/>
                <w:szCs w:val="20"/>
              </w:rPr>
              <w:t xml:space="preserve"> is located and designed such that the safety and efficiency of the road network, access and internal vehicle and pedestrian movements are not adversely impacted upon.</w:t>
            </w: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11.1</w:t>
            </w:r>
          </w:p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For sites less than 1,500m</w:t>
            </w:r>
            <w:r w:rsidRPr="009D7251">
              <w:rPr>
                <w:rFonts w:cs="Arial"/>
                <w:szCs w:val="20"/>
                <w:vertAlign w:val="superscript"/>
                <w:lang w:val="en-GB"/>
              </w:rPr>
              <w:t>2</w:t>
            </w:r>
            <w:r w:rsidRPr="009D7251">
              <w:rPr>
                <w:rFonts w:cs="Arial"/>
                <w:szCs w:val="20"/>
                <w:lang w:val="en-GB"/>
              </w:rPr>
              <w:t>, vehicular access is gained from a collector or higher order road;</w:t>
            </w:r>
          </w:p>
          <w:p w:rsidR="000337F8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0337F8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</w:t>
            </w:r>
          </w:p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D7251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11.2</w:t>
            </w:r>
          </w:p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251">
              <w:rPr>
                <w:rFonts w:cs="Arial"/>
                <w:szCs w:val="20"/>
              </w:rPr>
              <w:t>For sites on land greater than 1,500m</w:t>
            </w:r>
            <w:r w:rsidRPr="00EE188C">
              <w:rPr>
                <w:rFonts w:cs="Arial"/>
                <w:szCs w:val="20"/>
                <w:vertAlign w:val="superscript"/>
              </w:rPr>
              <w:t>2</w:t>
            </w:r>
            <w:r w:rsidRPr="009D7251">
              <w:rPr>
                <w:rFonts w:cs="Arial"/>
                <w:szCs w:val="20"/>
              </w:rPr>
              <w:t>, the centre activity is supported by a traffic management and impact report demonstrating the development’s location, design and access does not adversely impact upon:</w:t>
            </w:r>
          </w:p>
          <w:p w:rsidR="000337F8" w:rsidRPr="009D7251" w:rsidRDefault="000337F8" w:rsidP="003711F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9D7251">
              <w:rPr>
                <w:rFonts w:cs="Arial"/>
                <w:szCs w:val="20"/>
              </w:rPr>
              <w:t>the safety and function of the road network;</w:t>
            </w:r>
          </w:p>
          <w:p w:rsidR="000337F8" w:rsidRPr="005F28D8" w:rsidRDefault="000337F8" w:rsidP="0084004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6"/>
                <w:szCs w:val="16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</w:r>
            <w:r w:rsidRPr="009D7251">
              <w:rPr>
                <w:rFonts w:cs="Arial"/>
                <w:szCs w:val="20"/>
              </w:rPr>
              <w:t>operation of the centre activity with respect to pedestrians, cyclists and the types of vehicles accessing and servicing the development.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wAfter w:w="1668" w:type="pct"/>
          <w:trHeight w:val="1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</w:tcPr>
          <w:p w:rsidR="000337F8" w:rsidRPr="009D7251" w:rsidRDefault="000337F8" w:rsidP="003711F1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D7251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11.3</w:t>
            </w:r>
          </w:p>
          <w:p w:rsidR="000337F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251">
              <w:rPr>
                <w:rFonts w:cs="Arial"/>
                <w:szCs w:val="20"/>
              </w:rPr>
              <w:t>Clear and safe universal pedestrian access is gained from the local road network.</w:t>
            </w:r>
          </w:p>
          <w:p w:rsidR="000337F8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0337F8" w:rsidRPr="009D7251" w:rsidRDefault="000337F8" w:rsidP="00FB7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5F28D8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ote – </w:t>
            </w:r>
            <w:r w:rsidRPr="005F28D8">
              <w:rPr>
                <w:rFonts w:cs="Arial"/>
                <w:sz w:val="16"/>
                <w:szCs w:val="16"/>
              </w:rPr>
              <w:t>Guidance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28D8">
              <w:rPr>
                <w:rFonts w:cs="Arial"/>
                <w:sz w:val="16"/>
                <w:szCs w:val="16"/>
              </w:rPr>
              <w:t xml:space="preserve">to preparing a traffic management and impact report is contained within Planning </w:t>
            </w:r>
            <w:r>
              <w:rPr>
                <w:rFonts w:cs="Arial"/>
                <w:sz w:val="16"/>
                <w:szCs w:val="16"/>
              </w:rPr>
              <w:t>s</w:t>
            </w:r>
            <w:r w:rsidRPr="005F28D8">
              <w:rPr>
                <w:rFonts w:cs="Arial"/>
                <w:sz w:val="16"/>
                <w:szCs w:val="16"/>
              </w:rPr>
              <w:t xml:space="preserve">cheme </w:t>
            </w:r>
            <w:r>
              <w:rPr>
                <w:rFonts w:cs="Arial"/>
                <w:sz w:val="16"/>
                <w:szCs w:val="16"/>
              </w:rPr>
              <w:t>p</w:t>
            </w:r>
            <w:r w:rsidRPr="005F28D8">
              <w:rPr>
                <w:rFonts w:cs="Arial"/>
                <w:sz w:val="16"/>
                <w:szCs w:val="16"/>
              </w:rPr>
              <w:t>olicy – Parking and access.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</w:rPr>
            </w:pP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 w:val="restart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12</w:t>
            </w:r>
          </w:p>
          <w:p w:rsidR="000337F8" w:rsidRDefault="000337F8" w:rsidP="003711F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D7251">
              <w:rPr>
                <w:rFonts w:cs="Arial"/>
                <w:szCs w:val="20"/>
              </w:rPr>
              <w:t>Public or semi-public spaces are integrated into the centre activity’s movement system.</w:t>
            </w:r>
          </w:p>
          <w:p w:rsidR="000337F8" w:rsidRDefault="000337F8" w:rsidP="003711F1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0337F8" w:rsidRPr="009D7251" w:rsidRDefault="000337F8" w:rsidP="00FB7DF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244E3">
              <w:rPr>
                <w:rFonts w:cs="Arial"/>
                <w:sz w:val="16"/>
                <w:szCs w:val="16"/>
                <w:lang w:val="en-GB"/>
              </w:rPr>
              <w:t xml:space="preserve">Note </w:t>
            </w:r>
            <w:r>
              <w:rPr>
                <w:rFonts w:cs="Arial"/>
                <w:sz w:val="16"/>
                <w:szCs w:val="16"/>
                <w:lang w:val="en-GB"/>
              </w:rPr>
              <w:t>–</w:t>
            </w:r>
            <w:r w:rsidRPr="00E244E3">
              <w:rPr>
                <w:rFonts w:cs="Arial"/>
                <w:sz w:val="16"/>
                <w:szCs w:val="16"/>
                <w:lang w:val="en-GB"/>
              </w:rPr>
              <w:t xml:space="preserve"> Guidance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E244E3">
              <w:rPr>
                <w:rFonts w:cs="Arial"/>
                <w:sz w:val="16"/>
                <w:szCs w:val="16"/>
                <w:lang w:val="en-GB"/>
              </w:rPr>
              <w:t>on demonstrating compliance with the Performance Outcome is outlined within Planning Scheme Policy – Parking and access.</w:t>
            </w: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12.1</w:t>
            </w:r>
          </w:p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>Public and semi-public spaces are located to ensure pedestrian movement flows through the site and connects with frontages.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  <w:shd w:val="clear" w:color="auto" w:fill="auto"/>
          </w:tcPr>
          <w:p w:rsidR="000337F8" w:rsidRPr="0084004B" w:rsidRDefault="000337F8" w:rsidP="0084004B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:rsidR="000337F8" w:rsidRPr="0084004B" w:rsidRDefault="000337F8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84004B">
              <w:rPr>
                <w:rFonts w:cs="Arial"/>
                <w:b/>
                <w:szCs w:val="20"/>
                <w:lang w:val="en-GB"/>
              </w:rPr>
              <w:t>AO1</w:t>
            </w:r>
            <w:r>
              <w:rPr>
                <w:rFonts w:cs="Arial"/>
                <w:b/>
                <w:szCs w:val="20"/>
                <w:lang w:val="en-GB"/>
              </w:rPr>
              <w:t>2</w:t>
            </w:r>
            <w:r w:rsidRPr="0084004B">
              <w:rPr>
                <w:rFonts w:cs="Arial"/>
                <w:b/>
                <w:szCs w:val="20"/>
                <w:lang w:val="en-GB"/>
              </w:rPr>
              <w:t>.2</w:t>
            </w:r>
          </w:p>
          <w:p w:rsidR="000337F8" w:rsidRPr="0084004B" w:rsidRDefault="000337F8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E244E3">
              <w:rPr>
                <w:rFonts w:cs="Arial"/>
                <w:szCs w:val="20"/>
                <w:lang w:val="en-GB"/>
              </w:rPr>
              <w:t>Pedestrian arcades, laneways or enclosed thoroughfares are a minimum of 6m wide, provide a direct line of sight to a major pedestrian destination (major tenancy, car park, public place, etc.), and are not dead ends, narrow or circuitous.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84004B" w:rsidRDefault="000337F8" w:rsidP="0084004B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2C79EE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3711F1">
            <w:pPr>
              <w:rPr>
                <w:rStyle w:val="Strong"/>
              </w:rPr>
            </w:pPr>
            <w:r>
              <w:rPr>
                <w:rStyle w:val="Strong"/>
              </w:rPr>
              <w:t>Landscaping</w:t>
            </w: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 w:val="restart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lastRenderedPageBreak/>
              <w:t>PO</w:t>
            </w:r>
            <w:r>
              <w:rPr>
                <w:rFonts w:cs="Arial"/>
                <w:b/>
                <w:szCs w:val="20"/>
                <w:lang w:val="en-GB"/>
              </w:rPr>
              <w:t>13</w:t>
            </w:r>
          </w:p>
          <w:p w:rsidR="000337F8" w:rsidRPr="009D7251" w:rsidRDefault="000337F8" w:rsidP="00145356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</w:t>
            </w:r>
            <w:r w:rsidRPr="009D7251">
              <w:rPr>
                <w:rFonts w:cs="Arial"/>
                <w:szCs w:val="20"/>
                <w:lang w:val="en-GB"/>
              </w:rPr>
              <w:t xml:space="preserve"> provides for the </w:t>
            </w:r>
            <w:r>
              <w:rPr>
                <w:rFonts w:cs="Arial"/>
                <w:szCs w:val="20"/>
                <w:lang w:val="en-GB"/>
              </w:rPr>
              <w:t>site</w:t>
            </w:r>
            <w:r w:rsidRPr="009D7251">
              <w:rPr>
                <w:rFonts w:cs="Arial"/>
                <w:szCs w:val="20"/>
                <w:lang w:val="en-GB"/>
              </w:rPr>
              <w:t xml:space="preserve"> to be attractively landscaped in a manner that is consistent with the function, location and setting of the </w:t>
            </w:r>
            <w:r>
              <w:rPr>
                <w:rFonts w:cs="Arial"/>
                <w:szCs w:val="20"/>
                <w:lang w:val="en-GB"/>
              </w:rPr>
              <w:t>development</w:t>
            </w:r>
            <w:r w:rsidRPr="009D7251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13.1</w:t>
            </w:r>
          </w:p>
          <w:p w:rsidR="000337F8" w:rsidRPr="009D7251" w:rsidRDefault="000337F8" w:rsidP="00C3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D7251">
              <w:rPr>
                <w:rFonts w:cs="Arial"/>
                <w:szCs w:val="20"/>
                <w:lang w:val="en-GB"/>
              </w:rPr>
              <w:t xml:space="preserve">A minimum of 10% of the site is </w:t>
            </w:r>
            <w:r>
              <w:rPr>
                <w:rFonts w:cs="Arial"/>
                <w:szCs w:val="20"/>
                <w:lang w:val="en-GB"/>
              </w:rPr>
              <w:t>landscaped</w:t>
            </w:r>
            <w:r w:rsidRPr="009D7251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  <w:vMerge/>
          </w:tcPr>
          <w:p w:rsidR="000337F8" w:rsidRPr="0055614F" w:rsidRDefault="000337F8" w:rsidP="003711F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13.2</w:t>
            </w:r>
          </w:p>
          <w:p w:rsidR="000337F8" w:rsidRPr="00C30CA8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C30CA8">
              <w:rPr>
                <w:rFonts w:cs="Arial"/>
                <w:szCs w:val="20"/>
                <w:lang w:val="en-GB"/>
              </w:rPr>
              <w:t>Landscaping is provided on site in accordance with the following:</w:t>
            </w:r>
          </w:p>
          <w:p w:rsidR="000337F8" w:rsidRPr="00C30CA8" w:rsidRDefault="000337F8" w:rsidP="00CA269E">
            <w:pPr>
              <w:ind w:left="48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C30CA8">
              <w:rPr>
                <w:rFonts w:cs="Arial"/>
                <w:szCs w:val="20"/>
                <w:lang w:val="en-GB"/>
              </w:rPr>
              <w:t>(a)</w:t>
            </w:r>
            <w:r w:rsidRPr="00C30CA8"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Cs w:val="20"/>
                <w:lang w:val="en-GB"/>
              </w:rPr>
              <w:t>a mixture of shade trees and low planting is provided along street frontages where buildings are set back from the boundary</w:t>
            </w:r>
            <w:r w:rsidRPr="00C30CA8">
              <w:rPr>
                <w:rFonts w:cs="Arial"/>
                <w:szCs w:val="20"/>
                <w:lang w:val="en-GB"/>
              </w:rPr>
              <w:t>;</w:t>
            </w:r>
          </w:p>
          <w:p w:rsidR="000337F8" w:rsidRPr="00C30CA8" w:rsidRDefault="000337F8" w:rsidP="00CA269E">
            <w:pPr>
              <w:ind w:left="48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C30CA8">
              <w:rPr>
                <w:rFonts w:cs="Arial"/>
                <w:szCs w:val="20"/>
                <w:lang w:val="en-GB"/>
              </w:rPr>
              <w:t>(b)</w:t>
            </w:r>
            <w:r w:rsidRPr="00C30CA8">
              <w:rPr>
                <w:rFonts w:cs="Arial"/>
                <w:szCs w:val="20"/>
                <w:lang w:val="en-GB"/>
              </w:rPr>
              <w:tab/>
              <w:t>shade trees are provided in car parks;</w:t>
            </w:r>
          </w:p>
          <w:p w:rsidR="000337F8" w:rsidRPr="00C30CA8" w:rsidRDefault="000337F8" w:rsidP="00CA269E">
            <w:pPr>
              <w:ind w:left="48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C30CA8">
              <w:rPr>
                <w:rFonts w:cs="Arial"/>
                <w:szCs w:val="20"/>
                <w:lang w:val="en-GB"/>
              </w:rPr>
              <w:t>(c)</w:t>
            </w:r>
            <w:r w:rsidRPr="00C30CA8">
              <w:rPr>
                <w:rFonts w:cs="Arial"/>
                <w:szCs w:val="20"/>
                <w:lang w:val="en-GB"/>
              </w:rPr>
              <w:tab/>
              <w:t>a landscaped area is provided between the centre activity</w:t>
            </w:r>
            <w:r>
              <w:rPr>
                <w:rFonts w:cs="Arial"/>
                <w:szCs w:val="20"/>
                <w:lang w:val="en-GB"/>
              </w:rPr>
              <w:t>, associated car parking</w:t>
            </w:r>
            <w:r w:rsidRPr="00C30CA8">
              <w:rPr>
                <w:rFonts w:cs="Arial"/>
                <w:szCs w:val="20"/>
                <w:lang w:val="en-GB"/>
              </w:rPr>
              <w:t xml:space="preserve"> and any adjacent residential use </w:t>
            </w:r>
            <w:r>
              <w:rPr>
                <w:rFonts w:cs="Arial"/>
                <w:szCs w:val="20"/>
                <w:lang w:val="en-GB"/>
              </w:rPr>
              <w:t xml:space="preserve">or zone </w:t>
            </w:r>
            <w:r w:rsidRPr="00C30CA8">
              <w:rPr>
                <w:rFonts w:cs="Arial"/>
                <w:szCs w:val="20"/>
                <w:lang w:val="en-GB"/>
              </w:rPr>
              <w:t>which:</w:t>
            </w:r>
          </w:p>
          <w:p w:rsidR="000337F8" w:rsidRPr="00C30CA8" w:rsidRDefault="000337F8" w:rsidP="00CA269E">
            <w:pPr>
              <w:ind w:left="91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C30CA8">
              <w:rPr>
                <w:rFonts w:cs="Arial"/>
                <w:szCs w:val="20"/>
                <w:lang w:val="en-GB"/>
              </w:rPr>
              <w:t>(i)</w:t>
            </w:r>
            <w:r w:rsidRPr="00C30CA8">
              <w:rPr>
                <w:rFonts w:cs="Arial"/>
                <w:szCs w:val="20"/>
                <w:lang w:val="en-GB"/>
              </w:rPr>
              <w:tab/>
              <w:t>has a minimum width of 2 metres and not used for storage or mechanical plant ;</w:t>
            </w:r>
          </w:p>
          <w:p w:rsidR="000337F8" w:rsidRPr="00C30CA8" w:rsidRDefault="000337F8" w:rsidP="00CA269E">
            <w:pPr>
              <w:ind w:left="91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C30CA8">
              <w:rPr>
                <w:rFonts w:cs="Arial"/>
                <w:szCs w:val="20"/>
                <w:lang w:val="en-GB"/>
              </w:rPr>
              <w:t>(ii)</w:t>
            </w:r>
            <w:r w:rsidRPr="00C30CA8">
              <w:rPr>
                <w:rFonts w:cs="Arial"/>
                <w:szCs w:val="20"/>
                <w:lang w:val="en-GB"/>
              </w:rPr>
              <w:tab/>
              <w:t>is planted with a variety of screening trees and shrubs;</w:t>
            </w:r>
          </w:p>
          <w:p w:rsidR="000337F8" w:rsidRPr="00C30CA8" w:rsidRDefault="000337F8" w:rsidP="00CA269E">
            <w:pPr>
              <w:ind w:left="91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C30CA8">
              <w:rPr>
                <w:rFonts w:cs="Arial"/>
                <w:szCs w:val="20"/>
                <w:lang w:val="en-GB"/>
              </w:rPr>
              <w:t>(iii)</w:t>
            </w:r>
            <w:r w:rsidRPr="00C30CA8">
              <w:rPr>
                <w:rFonts w:cs="Arial"/>
                <w:szCs w:val="20"/>
                <w:lang w:val="en-GB"/>
              </w:rPr>
              <w:tab/>
              <w:t>incorporates a minimum 1.8 metre high solid screen fence where acoustic attenuation is required.</w:t>
            </w:r>
          </w:p>
          <w:p w:rsidR="000337F8" w:rsidRPr="009D7251" w:rsidRDefault="000337F8" w:rsidP="00CA269E">
            <w:pPr>
              <w:ind w:left="486" w:hanging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C30CA8">
              <w:rPr>
                <w:rFonts w:cs="Arial"/>
                <w:szCs w:val="20"/>
                <w:lang w:val="en-GB"/>
              </w:rPr>
              <w:t>(d)</w:t>
            </w:r>
            <w:r w:rsidRPr="00C30CA8">
              <w:rPr>
                <w:rFonts w:cs="Arial"/>
                <w:szCs w:val="20"/>
                <w:lang w:val="en-GB"/>
              </w:rPr>
              <w:tab/>
              <w:t>planting is provided on top of podium levels and on the roof or roof level of car parking structures.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2C79EE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3711F1">
            <w:pPr>
              <w:rPr>
                <w:rStyle w:val="Strong"/>
              </w:rPr>
            </w:pPr>
            <w:r>
              <w:rPr>
                <w:rStyle w:val="Strong"/>
              </w:rPr>
              <w:t>External dining</w:t>
            </w:r>
          </w:p>
        </w:tc>
      </w:tr>
      <w:tr w:rsidR="000337F8" w:rsidRPr="005A77FA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14</w:t>
            </w:r>
          </w:p>
          <w:p w:rsidR="000337F8" w:rsidRPr="009D7251" w:rsidRDefault="000337F8" w:rsidP="00F977A5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Areas used for food and dining activities external to the main building allows for the safe and efficient movement of pedestrians.</w:t>
            </w:r>
          </w:p>
        </w:tc>
        <w:tc>
          <w:tcPr>
            <w:tcW w:w="1126" w:type="pct"/>
            <w:gridSpan w:val="2"/>
          </w:tcPr>
          <w:p w:rsidR="000337F8" w:rsidRPr="009D7251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9D725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14.1</w:t>
            </w:r>
          </w:p>
          <w:p w:rsidR="000337F8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0337F8" w:rsidRDefault="000337F8" w:rsidP="0037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0337F8" w:rsidRDefault="000337F8" w:rsidP="00594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0337F8" w:rsidRPr="009D7251" w:rsidRDefault="000337F8" w:rsidP="00594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9D7251" w:rsidRDefault="000337F8" w:rsidP="003711F1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337F8" w:rsidRPr="002C79EE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5C63CA">
            <w:pPr>
              <w:rPr>
                <w:rStyle w:val="Strong"/>
              </w:rPr>
            </w:pPr>
            <w:r>
              <w:rPr>
                <w:rStyle w:val="Strong"/>
              </w:rPr>
              <w:t>Additional requirements for Adult stores</w:t>
            </w:r>
          </w:p>
        </w:tc>
      </w:tr>
      <w:tr w:rsidR="000337F8" w:rsidRPr="002C79EE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5C63CA">
            <w:pPr>
              <w:rPr>
                <w:rStyle w:val="Strong"/>
              </w:rPr>
            </w:pPr>
            <w:r>
              <w:rPr>
                <w:rStyle w:val="Strong"/>
              </w:rPr>
              <w:t>Location</w:t>
            </w: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84004B" w:rsidRDefault="000337F8" w:rsidP="005C63CA">
            <w:pPr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D156CC">
              <w:rPr>
                <w:rFonts w:cs="Arial"/>
                <w:b/>
                <w:szCs w:val="20"/>
              </w:rPr>
              <w:t>PO1</w:t>
            </w:r>
            <w:r>
              <w:rPr>
                <w:rFonts w:cs="Arial"/>
                <w:b/>
                <w:szCs w:val="20"/>
              </w:rPr>
              <w:t>5</w:t>
            </w:r>
          </w:p>
          <w:p w:rsidR="000337F8" w:rsidRPr="0084004B" w:rsidRDefault="000337F8" w:rsidP="005C63CA">
            <w:pPr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D156CC">
              <w:rPr>
                <w:rFonts w:cs="Arial"/>
                <w:szCs w:val="20"/>
              </w:rPr>
              <w:t xml:space="preserve">An Adult store is located to satisfy reasonable community expectations in relation to location and accessibility. </w:t>
            </w:r>
          </w:p>
        </w:tc>
        <w:tc>
          <w:tcPr>
            <w:tcW w:w="1126" w:type="pct"/>
            <w:gridSpan w:val="2"/>
          </w:tcPr>
          <w:p w:rsidR="000337F8" w:rsidRPr="0084004B" w:rsidRDefault="000337F8" w:rsidP="005C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D156CC">
              <w:rPr>
                <w:rFonts w:cs="Arial"/>
                <w:b/>
                <w:szCs w:val="20"/>
              </w:rPr>
              <w:t>AO1</w:t>
            </w:r>
            <w:r>
              <w:rPr>
                <w:rFonts w:cs="Arial"/>
                <w:b/>
                <w:szCs w:val="20"/>
              </w:rPr>
              <w:t>5</w:t>
            </w:r>
            <w:r w:rsidRPr="00D156CC">
              <w:rPr>
                <w:rFonts w:cs="Arial"/>
                <w:b/>
                <w:szCs w:val="20"/>
              </w:rPr>
              <w:t>.1</w:t>
            </w:r>
          </w:p>
          <w:p w:rsidR="000337F8" w:rsidRPr="0084004B" w:rsidRDefault="000337F8" w:rsidP="005C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D156CC">
              <w:rPr>
                <w:rFonts w:cs="Arial"/>
                <w:szCs w:val="20"/>
              </w:rPr>
              <w:t>The distance between the boundary of the land occupied by the sensitive land use and the entrance of a proposed adult store is:</w:t>
            </w:r>
          </w:p>
          <w:p w:rsidR="000337F8" w:rsidRPr="0084004B" w:rsidRDefault="000337F8" w:rsidP="00CA269E">
            <w:pPr>
              <w:ind w:left="486" w:hanging="4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D156CC">
              <w:rPr>
                <w:rFonts w:cs="Arial"/>
                <w:szCs w:val="20"/>
              </w:rPr>
              <w:t>(a)</w:t>
            </w:r>
            <w:r w:rsidRPr="00D156CC">
              <w:rPr>
                <w:rFonts w:cs="Arial"/>
                <w:szCs w:val="20"/>
              </w:rPr>
              <w:tab/>
              <w:t xml:space="preserve">more than 200 metres according to the shortest route a person may lawfully take, by </w:t>
            </w:r>
            <w:r w:rsidRPr="00D156CC">
              <w:rPr>
                <w:rFonts w:cs="Arial"/>
                <w:szCs w:val="20"/>
              </w:rPr>
              <w:lastRenderedPageBreak/>
              <w:t>vehicle or on foot; or</w:t>
            </w:r>
          </w:p>
          <w:p w:rsidR="000337F8" w:rsidRPr="005C63CA" w:rsidRDefault="000337F8" w:rsidP="00CA269E">
            <w:pPr>
              <w:ind w:left="486" w:hanging="4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156CC">
              <w:rPr>
                <w:rFonts w:cs="Arial"/>
                <w:szCs w:val="20"/>
              </w:rPr>
              <w:t>(b)</w:t>
            </w:r>
            <w:r w:rsidRPr="00D156CC">
              <w:rPr>
                <w:rFonts w:cs="Arial"/>
                <w:szCs w:val="20"/>
              </w:rPr>
              <w:tab/>
              <w:t>more than 100 metres measured in a straight line.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D156CC" w:rsidRDefault="000337F8" w:rsidP="005C63CA">
            <w:pPr>
              <w:rPr>
                <w:rFonts w:cs="Arial"/>
                <w:b/>
                <w:szCs w:val="20"/>
              </w:rPr>
            </w:pPr>
          </w:p>
        </w:tc>
      </w:tr>
      <w:tr w:rsidR="000337F8" w:rsidRPr="002C79EE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5C63CA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Presentation</w:t>
            </w: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5911D4" w:rsidRDefault="000337F8" w:rsidP="005C63CA">
            <w:pPr>
              <w:keepNext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PO16</w:t>
            </w:r>
          </w:p>
          <w:p w:rsidR="000337F8" w:rsidRPr="005911D4" w:rsidRDefault="000337F8" w:rsidP="005C63CA">
            <w:pPr>
              <w:keepNext/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5911D4">
              <w:rPr>
                <w:rFonts w:cs="Arial"/>
                <w:szCs w:val="20"/>
              </w:rPr>
              <w:t xml:space="preserve">The presentation of the adult store </w:t>
            </w:r>
            <w:r>
              <w:rPr>
                <w:rFonts w:cs="Arial"/>
                <w:szCs w:val="20"/>
              </w:rPr>
              <w:t>satisfies</w:t>
            </w:r>
            <w:r w:rsidRPr="005911D4">
              <w:rPr>
                <w:rFonts w:cs="Arial"/>
                <w:szCs w:val="20"/>
              </w:rPr>
              <w:t xml:space="preserve"> reasonable community expectations. </w:t>
            </w:r>
          </w:p>
        </w:tc>
        <w:tc>
          <w:tcPr>
            <w:tcW w:w="1126" w:type="pct"/>
            <w:gridSpan w:val="2"/>
          </w:tcPr>
          <w:p w:rsidR="000337F8" w:rsidRPr="005911D4" w:rsidRDefault="000337F8" w:rsidP="005C63CA">
            <w:pPr>
              <w:keepNext/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b/>
                <w:szCs w:val="20"/>
                <w:lang w:eastAsia="en-AU"/>
              </w:rPr>
            </w:pPr>
            <w:r w:rsidRPr="005911D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16</w:t>
            </w:r>
            <w:r w:rsidRPr="005911D4">
              <w:rPr>
                <w:rFonts w:cs="Arial"/>
                <w:b/>
                <w:szCs w:val="20"/>
              </w:rPr>
              <w:t>.1</w:t>
            </w:r>
          </w:p>
          <w:p w:rsidR="000337F8" w:rsidRPr="005911D4" w:rsidRDefault="000337F8" w:rsidP="005C63C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szCs w:val="20"/>
                <w:lang w:eastAsia="en-AU"/>
              </w:rPr>
            </w:pPr>
            <w:r w:rsidRPr="005911D4">
              <w:rPr>
                <w:rFonts w:cs="Arial"/>
                <w:szCs w:val="20"/>
              </w:rPr>
              <w:t xml:space="preserve">The </w:t>
            </w:r>
            <w:r w:rsidRPr="005F28D8">
              <w:rPr>
                <w:rFonts w:cs="Arial"/>
                <w:szCs w:val="20"/>
              </w:rPr>
              <w:t>display window of the adult store is completely screened to prohibit viewing into the interior of the development</w:t>
            </w:r>
            <w:r w:rsidRPr="005911D4">
              <w:rPr>
                <w:rFonts w:cs="Arial"/>
                <w:szCs w:val="20"/>
              </w:rPr>
              <w:t xml:space="preserve"> where goods are displayed.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5911D4" w:rsidRDefault="000337F8" w:rsidP="005C63CA">
            <w:pPr>
              <w:keepNext/>
              <w:ind w:left="420" w:hanging="420"/>
              <w:rPr>
                <w:rFonts w:cs="Arial"/>
                <w:b/>
                <w:szCs w:val="20"/>
              </w:rPr>
            </w:pPr>
          </w:p>
        </w:tc>
      </w:tr>
      <w:tr w:rsidR="000337F8" w:rsidRPr="002C79EE" w:rsidTr="00033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2" w:type="pct"/>
            <w:gridSpan w:val="5"/>
            <w:shd w:val="clear" w:color="auto" w:fill="D9D9D9" w:themeFill="background1" w:themeFillShade="D9"/>
          </w:tcPr>
          <w:p w:rsidR="000337F8" w:rsidRDefault="000337F8" w:rsidP="002F537D">
            <w:pPr>
              <w:rPr>
                <w:rStyle w:val="Strong"/>
              </w:rPr>
            </w:pPr>
            <w:r>
              <w:rPr>
                <w:rStyle w:val="Strong"/>
              </w:rPr>
              <w:t>Additional requirements for centre activities with a GFA greater than 1500m²</w:t>
            </w:r>
          </w:p>
        </w:tc>
      </w:tr>
      <w:tr w:rsidR="000337F8" w:rsidRPr="005A77FA" w:rsidTr="000337F8">
        <w:trPr>
          <w:gridAfter w:val="1"/>
          <w:wAfter w:w="1668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pct"/>
          </w:tcPr>
          <w:p w:rsidR="000337F8" w:rsidRPr="00E60DB1" w:rsidRDefault="000337F8" w:rsidP="002F537D">
            <w:pPr>
              <w:tabs>
                <w:tab w:val="left" w:pos="1134"/>
              </w:tabs>
              <w:rPr>
                <w:rFonts w:cs="Arial"/>
                <w:b/>
                <w:szCs w:val="20"/>
              </w:rPr>
            </w:pPr>
            <w:r w:rsidRPr="00E60DB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17</w:t>
            </w:r>
          </w:p>
          <w:p w:rsidR="000337F8" w:rsidRPr="00B37364" w:rsidRDefault="000337F8" w:rsidP="002F537D">
            <w:pPr>
              <w:tabs>
                <w:tab w:val="left" w:pos="113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Development is</w:t>
            </w:r>
            <w:r w:rsidRPr="00B37364">
              <w:rPr>
                <w:rFonts w:cs="Arial"/>
                <w:szCs w:val="20"/>
              </w:rPr>
              <w:t xml:space="preserve"> designed </w:t>
            </w:r>
            <w:r>
              <w:rPr>
                <w:rFonts w:cs="Arial"/>
                <w:szCs w:val="20"/>
              </w:rPr>
              <w:t>to be</w:t>
            </w:r>
            <w:r w:rsidRPr="00B37364">
              <w:rPr>
                <w:rFonts w:cs="Arial"/>
                <w:szCs w:val="20"/>
              </w:rPr>
              <w:t xml:space="preserve"> adaptive to the needs of the community over time</w:t>
            </w:r>
            <w:r>
              <w:rPr>
                <w:rFonts w:cs="Arial"/>
                <w:szCs w:val="20"/>
              </w:rPr>
              <w:t xml:space="preserve"> by:</w:t>
            </w:r>
          </w:p>
          <w:p w:rsidR="000337F8" w:rsidRDefault="000337F8" w:rsidP="002F537D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4E1DF5">
              <w:rPr>
                <w:rFonts w:cs="Arial"/>
                <w:szCs w:val="20"/>
              </w:rPr>
              <w:t>planning for active streets through</w:t>
            </w:r>
            <w:r>
              <w:rPr>
                <w:rFonts w:cs="Arial"/>
                <w:szCs w:val="20"/>
              </w:rPr>
              <w:t xml:space="preserve"> </w:t>
            </w:r>
            <w:r w:rsidRPr="004E1DF5">
              <w:rPr>
                <w:rFonts w:cs="Arial"/>
                <w:szCs w:val="20"/>
              </w:rPr>
              <w:t>a range of retail, commercial and community activities and spaces which can change with minimal intervention;</w:t>
            </w:r>
          </w:p>
          <w:p w:rsidR="000337F8" w:rsidRDefault="000337F8" w:rsidP="002F537D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</w:r>
            <w:r w:rsidRPr="004E1DF5">
              <w:rPr>
                <w:rFonts w:cs="Arial"/>
                <w:szCs w:val="20"/>
              </w:rPr>
              <w:t>sleeving larger format retail and commercial activities</w:t>
            </w:r>
            <w:r>
              <w:rPr>
                <w:rFonts w:cs="Arial"/>
                <w:szCs w:val="20"/>
              </w:rPr>
              <w:t xml:space="preserve"> behind active street fronts</w:t>
            </w:r>
            <w:r w:rsidRPr="004E1DF5">
              <w:rPr>
                <w:rFonts w:cs="Arial"/>
                <w:szCs w:val="20"/>
              </w:rPr>
              <w:t>;</w:t>
            </w:r>
          </w:p>
          <w:p w:rsidR="000337F8" w:rsidRDefault="000337F8" w:rsidP="002F537D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</w:r>
            <w:r w:rsidRPr="00E60DB1">
              <w:rPr>
                <w:rFonts w:cs="Arial"/>
                <w:szCs w:val="20"/>
              </w:rPr>
              <w:t>allowing for interim uses that can be changed over time and be added to with minimal interventions.</w:t>
            </w:r>
          </w:p>
          <w:p w:rsidR="000337F8" w:rsidRPr="00B86850" w:rsidRDefault="000337F8" w:rsidP="002F537D">
            <w:pPr>
              <w:rPr>
                <w:rFonts w:cs="Arial"/>
                <w:sz w:val="16"/>
                <w:szCs w:val="16"/>
                <w:lang w:val="en-GB"/>
              </w:rPr>
            </w:pPr>
          </w:p>
          <w:p w:rsidR="000337F8" w:rsidRPr="00E60DB1" w:rsidRDefault="000337F8" w:rsidP="00FB7DF7">
            <w:pPr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Note –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Guidance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5F28D8">
              <w:rPr>
                <w:rFonts w:cs="Arial"/>
                <w:sz w:val="16"/>
                <w:szCs w:val="16"/>
                <w:lang w:val="en-GB"/>
              </w:rPr>
              <w:t>on demonstrating compliance with the Performance Outcome is outlined within Planning scheme policy – Activity centres.</w:t>
            </w:r>
          </w:p>
        </w:tc>
        <w:tc>
          <w:tcPr>
            <w:tcW w:w="1126" w:type="pct"/>
            <w:gridSpan w:val="2"/>
          </w:tcPr>
          <w:p w:rsidR="000337F8" w:rsidRPr="004728EA" w:rsidRDefault="000337F8" w:rsidP="002F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4728EA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17.1</w:t>
            </w:r>
          </w:p>
          <w:p w:rsidR="000337F8" w:rsidRDefault="000337F8" w:rsidP="002F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3E2E6D">
              <w:rPr>
                <w:rFonts w:cs="Arial"/>
                <w:szCs w:val="20"/>
                <w:lang w:val="en-GB"/>
              </w:rPr>
              <w:t xml:space="preserve">No acceptable outcomes </w:t>
            </w:r>
            <w:r>
              <w:rPr>
                <w:rFonts w:cs="Arial"/>
                <w:szCs w:val="20"/>
                <w:lang w:val="en-GB"/>
              </w:rPr>
              <w:t>are provided.</w:t>
            </w:r>
          </w:p>
          <w:p w:rsidR="000337F8" w:rsidRPr="003E2E6D" w:rsidRDefault="000337F8" w:rsidP="002F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0337F8" w:rsidRPr="005F28D8" w:rsidRDefault="000337F8" w:rsidP="002F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</w:tcPr>
          <w:p w:rsidR="000337F8" w:rsidRPr="004728EA" w:rsidRDefault="000337F8" w:rsidP="002F537D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57297D" w:rsidRDefault="0057297D" w:rsidP="0057297D"/>
    <w:p w:rsidR="0057297D" w:rsidRDefault="0057297D" w:rsidP="0057297D"/>
    <w:sectPr w:rsidR="0057297D" w:rsidSect="00CE73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6A" w:rsidRDefault="0012776A">
      <w:pPr>
        <w:spacing w:after="0" w:line="240" w:lineRule="auto"/>
      </w:pPr>
      <w:r>
        <w:separator/>
      </w:r>
    </w:p>
  </w:endnote>
  <w:endnote w:type="continuationSeparator" w:id="0">
    <w:p w:rsidR="0012776A" w:rsidRDefault="001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50B9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60F40">
              <w:rPr>
                <w:color w:val="0064A7"/>
                <w:sz w:val="16"/>
                <w:szCs w:val="16"/>
              </w:rPr>
              <w:t>9.4.1</w:t>
            </w:r>
            <w:r w:rsidR="000337F8" w:rsidRPr="000337F8">
              <w:rPr>
                <w:color w:val="0064A7"/>
                <w:sz w:val="16"/>
                <w:szCs w:val="16"/>
              </w:rPr>
              <w:tab/>
            </w:r>
            <w:r w:rsidR="000337F8">
              <w:rPr>
                <w:color w:val="0064A7"/>
                <w:sz w:val="16"/>
                <w:szCs w:val="16"/>
              </w:rPr>
              <w:t xml:space="preserve"> </w:t>
            </w:r>
            <w:r w:rsidR="000337F8" w:rsidRPr="000337F8">
              <w:rPr>
                <w:color w:val="0064A7"/>
                <w:sz w:val="16"/>
                <w:szCs w:val="16"/>
              </w:rPr>
              <w:t>Centre design code</w:t>
            </w:r>
            <w:r>
              <w:rPr>
                <w:color w:val="0064A7"/>
                <w:sz w:val="16"/>
                <w:szCs w:val="16"/>
              </w:rPr>
              <w:t xml:space="preserve">              </w:t>
            </w:r>
            <w:r w:rsidR="000337F8">
              <w:rPr>
                <w:color w:val="0064A7"/>
                <w:sz w:val="16"/>
                <w:szCs w:val="16"/>
              </w:rPr>
              <w:t xml:space="preserve">   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33703D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</w:t>
            </w:r>
            <w:r w:rsidR="0033703D">
              <w:rPr>
                <w:color w:val="0064A7"/>
                <w:sz w:val="16"/>
                <w:szCs w:val="16"/>
              </w:rPr>
              <w:t xml:space="preserve"> </w:t>
            </w:r>
            <w:r w:rsidR="000B3CB0">
              <w:rPr>
                <w:color w:val="0064A7"/>
                <w:sz w:val="16"/>
                <w:szCs w:val="16"/>
              </w:rPr>
              <w:t xml:space="preserve">     </w:t>
            </w:r>
            <w:r w:rsidR="004950B9">
              <w:rPr>
                <w:color w:val="0064A7"/>
                <w:sz w:val="16"/>
                <w:szCs w:val="16"/>
              </w:rPr>
              <w:t>CairnsPlan 2016 Version 2.</w:t>
            </w:r>
            <w:r w:rsidR="000B66A0">
              <w:rPr>
                <w:color w:val="0064A7"/>
                <w:sz w:val="16"/>
                <w:szCs w:val="16"/>
              </w:rPr>
              <w:t>1</w:t>
            </w:r>
            <w:bookmarkStart w:id="2" w:name="_GoBack"/>
            <w:bookmarkEnd w:id="2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0B66A0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0B66A0">
              <w:rPr>
                <w:noProof/>
                <w:color w:val="0064A7"/>
                <w:sz w:val="16"/>
                <w:szCs w:val="16"/>
              </w:rPr>
              <w:t>9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A0" w:rsidRDefault="000B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6A" w:rsidRDefault="0012776A">
      <w:pPr>
        <w:spacing w:after="0" w:line="240" w:lineRule="auto"/>
      </w:pPr>
      <w:r>
        <w:separator/>
      </w:r>
    </w:p>
  </w:footnote>
  <w:footnote w:type="continuationSeparator" w:id="0">
    <w:p w:rsidR="0012776A" w:rsidRDefault="0012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7BC82B15" wp14:editId="4929B70B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606008EC" wp14:editId="5F431D19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A0" w:rsidRDefault="000B6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7D4A264E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3C58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7F8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3CB0"/>
    <w:rsid w:val="000B5C0A"/>
    <w:rsid w:val="000B66A0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2776A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1C29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3703D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77939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0B9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C4FB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0F40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2102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489BA2"/>
  <w15:docId w15:val="{FECE4B78-134F-46A2-B50A-33BC4497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142E988-7D25-49D5-A5C7-F5AF0AC2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4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2016-02-16T04:27:00Z</cp:lastPrinted>
  <dcterms:created xsi:type="dcterms:W3CDTF">2016-02-25T09:23:00Z</dcterms:created>
  <dcterms:modified xsi:type="dcterms:W3CDTF">2019-10-31T23:37:00Z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