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FF" w:rsidRPr="005A77FA" w:rsidRDefault="007C3FFF" w:rsidP="0023768B">
      <w:pPr>
        <w:pStyle w:val="Heading3"/>
        <w:numPr>
          <w:ilvl w:val="2"/>
          <w:numId w:val="65"/>
        </w:numPr>
      </w:pPr>
      <w:r>
        <w:t>Township zone</w:t>
      </w:r>
      <w:r w:rsidR="0039551F">
        <w:t xml:space="preserve"> code</w:t>
      </w:r>
    </w:p>
    <w:p w:rsidR="007C3FFF" w:rsidRPr="005A77FA" w:rsidRDefault="007C3FFF" w:rsidP="007C3FFF">
      <w:pPr>
        <w:pStyle w:val="Heading4"/>
      </w:pPr>
      <w:r w:rsidRPr="005A77FA">
        <w:t>Application</w:t>
      </w:r>
    </w:p>
    <w:p w:rsidR="007C3FFF" w:rsidRPr="004848FB" w:rsidRDefault="007C3FFF" w:rsidP="004848FB">
      <w:pPr>
        <w:pStyle w:val="ListParagraph"/>
        <w:numPr>
          <w:ilvl w:val="0"/>
          <w:numId w:val="31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>This code applie</w:t>
      </w:r>
      <w:r>
        <w:rPr>
          <w:rFonts w:ascii="Arial" w:eastAsia="Times New Roman" w:hAnsi="Arial" w:cs="Arial"/>
          <w:szCs w:val="20"/>
        </w:rPr>
        <w:t xml:space="preserve">s to assessing development in the </w:t>
      </w:r>
      <w:r w:rsidR="00AA25C7">
        <w:rPr>
          <w:rFonts w:ascii="Arial" w:eastAsia="Times New Roman" w:hAnsi="Arial" w:cs="Arial"/>
          <w:szCs w:val="20"/>
        </w:rPr>
        <w:t xml:space="preserve">Township </w:t>
      </w:r>
      <w:r>
        <w:rPr>
          <w:rFonts w:ascii="Arial" w:eastAsia="Times New Roman" w:hAnsi="Arial" w:cs="Arial"/>
          <w:szCs w:val="20"/>
        </w:rPr>
        <w:t>zone</w:t>
      </w:r>
      <w:r w:rsidRPr="005A77FA">
        <w:rPr>
          <w:rFonts w:ascii="Arial" w:eastAsia="Times New Roman" w:hAnsi="Arial" w:cs="Arial"/>
          <w:szCs w:val="20"/>
        </w:rPr>
        <w:t>.</w:t>
      </w:r>
    </w:p>
    <w:p w:rsidR="007C3FFF" w:rsidRPr="005A77FA" w:rsidRDefault="007C3FFF" w:rsidP="004848FB">
      <w:pPr>
        <w:pStyle w:val="ListParagraph"/>
        <w:spacing w:after="0"/>
        <w:ind w:left="567"/>
        <w:rPr>
          <w:rFonts w:ascii="Arial" w:eastAsia="Times New Roman" w:hAnsi="Arial" w:cs="Arial"/>
          <w:szCs w:val="20"/>
        </w:rPr>
      </w:pPr>
    </w:p>
    <w:p w:rsidR="007C3FFF" w:rsidRPr="005A77FA" w:rsidRDefault="007C3FFF" w:rsidP="004848FB">
      <w:pPr>
        <w:pStyle w:val="ListParagraph"/>
        <w:numPr>
          <w:ilvl w:val="0"/>
          <w:numId w:val="31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 xml:space="preserve">When using this code, reference should be made to </w:t>
      </w:r>
      <w:r>
        <w:rPr>
          <w:rFonts w:ascii="Arial" w:eastAsia="Times New Roman" w:hAnsi="Arial" w:cs="Arial"/>
          <w:szCs w:val="20"/>
        </w:rPr>
        <w:t>Part 5.</w:t>
      </w:r>
    </w:p>
    <w:p w:rsidR="007C3FFF" w:rsidRDefault="007C3FFF" w:rsidP="007C3FFF">
      <w:pPr>
        <w:pStyle w:val="Heading4"/>
      </w:pPr>
      <w:r w:rsidRPr="005A77FA">
        <w:t xml:space="preserve">Purpose </w:t>
      </w:r>
    </w:p>
    <w:p w:rsidR="00D16A9C" w:rsidRDefault="007C3FFF" w:rsidP="004848FB">
      <w:pPr>
        <w:pStyle w:val="ListParagraph"/>
        <w:numPr>
          <w:ilvl w:val="0"/>
          <w:numId w:val="62"/>
        </w:numPr>
        <w:spacing w:after="0"/>
        <w:rPr>
          <w:rFonts w:ascii="Arial" w:eastAsia="Times New Roman" w:hAnsi="Arial" w:cs="Arial"/>
          <w:szCs w:val="20"/>
        </w:rPr>
      </w:pPr>
      <w:r w:rsidRPr="007C3FFF">
        <w:rPr>
          <w:rFonts w:ascii="Arial" w:eastAsia="Times New Roman" w:hAnsi="Arial" w:cs="Arial"/>
          <w:szCs w:val="20"/>
        </w:rPr>
        <w:t xml:space="preserve">The purpose of the </w:t>
      </w:r>
      <w:r w:rsidR="009151CC">
        <w:rPr>
          <w:rFonts w:ascii="Arial" w:eastAsia="Times New Roman" w:hAnsi="Arial" w:cs="Arial"/>
          <w:szCs w:val="20"/>
        </w:rPr>
        <w:t>T</w:t>
      </w:r>
      <w:r w:rsidRPr="007C3FFF">
        <w:rPr>
          <w:rFonts w:ascii="Arial" w:eastAsia="Times New Roman" w:hAnsi="Arial" w:cs="Arial"/>
          <w:szCs w:val="20"/>
        </w:rPr>
        <w:t xml:space="preserve">ownship zone </w:t>
      </w:r>
      <w:r w:rsidR="006E289E">
        <w:rPr>
          <w:rFonts w:ascii="Arial" w:eastAsia="Times New Roman" w:hAnsi="Arial" w:cs="Arial"/>
          <w:szCs w:val="20"/>
        </w:rPr>
        <w:t xml:space="preserve">code </w:t>
      </w:r>
      <w:r w:rsidRPr="007C3FFF">
        <w:rPr>
          <w:rFonts w:ascii="Arial" w:eastAsia="Times New Roman" w:hAnsi="Arial" w:cs="Arial"/>
          <w:szCs w:val="20"/>
        </w:rPr>
        <w:t xml:space="preserve">is to </w:t>
      </w:r>
      <w:r w:rsidR="00D16A9C">
        <w:rPr>
          <w:rFonts w:ascii="Arial" w:eastAsia="Times New Roman" w:hAnsi="Arial" w:cs="Arial"/>
          <w:szCs w:val="20"/>
        </w:rPr>
        <w:t>provide for small to medium size urban settlements located in a rural or coastal are</w:t>
      </w:r>
      <w:bookmarkStart w:id="0" w:name="_GoBack"/>
      <w:bookmarkEnd w:id="0"/>
      <w:r w:rsidR="00D16A9C">
        <w:rPr>
          <w:rFonts w:ascii="Arial" w:eastAsia="Times New Roman" w:hAnsi="Arial" w:cs="Arial"/>
          <w:szCs w:val="20"/>
        </w:rPr>
        <w:t>a.</w:t>
      </w:r>
    </w:p>
    <w:p w:rsidR="00D16A9C" w:rsidRDefault="00D16A9C" w:rsidP="000646E9">
      <w:pPr>
        <w:spacing w:after="0"/>
        <w:rPr>
          <w:rFonts w:ascii="Arial" w:eastAsia="Times New Roman" w:hAnsi="Arial" w:cs="Arial"/>
          <w:szCs w:val="20"/>
        </w:rPr>
      </w:pPr>
    </w:p>
    <w:p w:rsidR="00D16A9C" w:rsidRDefault="007C3FFF" w:rsidP="000646E9">
      <w:pPr>
        <w:spacing w:after="0"/>
        <w:ind w:left="567"/>
        <w:rPr>
          <w:rFonts w:ascii="Arial" w:eastAsia="Times New Roman" w:hAnsi="Arial" w:cs="Arial"/>
          <w:szCs w:val="20"/>
        </w:rPr>
      </w:pPr>
      <w:r w:rsidRPr="00D512A4">
        <w:rPr>
          <w:rFonts w:ascii="Arial" w:eastAsia="Times New Roman" w:hAnsi="Arial" w:cs="Arial"/>
          <w:szCs w:val="20"/>
        </w:rPr>
        <w:t xml:space="preserve">Development </w:t>
      </w:r>
      <w:r w:rsidR="00D16A9C">
        <w:rPr>
          <w:rFonts w:ascii="Arial" w:eastAsia="Times New Roman" w:hAnsi="Arial" w:cs="Arial"/>
          <w:szCs w:val="20"/>
        </w:rPr>
        <w:t>provides for a mix of uses including residential, retail, business, education, industrial, community purpose, recreation and open space that support the needs of the local community.</w:t>
      </w:r>
    </w:p>
    <w:p w:rsidR="00D16A9C" w:rsidRDefault="00D16A9C" w:rsidP="000646E9">
      <w:pPr>
        <w:spacing w:after="0"/>
        <w:ind w:left="567"/>
        <w:rPr>
          <w:rFonts w:ascii="Arial" w:eastAsia="Times New Roman" w:hAnsi="Arial" w:cs="Arial"/>
          <w:szCs w:val="20"/>
        </w:rPr>
      </w:pPr>
    </w:p>
    <w:p w:rsidR="007C3FFF" w:rsidRPr="00D512A4" w:rsidRDefault="00D16A9C" w:rsidP="000646E9">
      <w:pPr>
        <w:spacing w:after="0"/>
        <w:ind w:left="567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Facilities such as tourist attractions and short-term accommodation may be appropriate.</w:t>
      </w:r>
      <w:r w:rsidR="007C3FFF" w:rsidRPr="00D512A4">
        <w:rPr>
          <w:rFonts w:ascii="Arial" w:eastAsia="Times New Roman" w:hAnsi="Arial" w:cs="Arial"/>
          <w:szCs w:val="20"/>
        </w:rPr>
        <w:t xml:space="preserve"> </w:t>
      </w:r>
    </w:p>
    <w:p w:rsidR="007C3FFF" w:rsidRDefault="007C3FFF" w:rsidP="000646E9">
      <w:pPr>
        <w:spacing w:after="0"/>
        <w:ind w:left="851" w:hanging="851"/>
        <w:rPr>
          <w:rFonts w:ascii="Arial" w:eastAsia="Times New Roman" w:hAnsi="Arial" w:cs="Arial"/>
          <w:b/>
          <w:szCs w:val="20"/>
        </w:rPr>
      </w:pPr>
    </w:p>
    <w:p w:rsidR="007C3FFF" w:rsidRPr="007C3FFF" w:rsidRDefault="007C3FFF" w:rsidP="004848FB">
      <w:pPr>
        <w:pStyle w:val="ListParagraph"/>
        <w:numPr>
          <w:ilvl w:val="0"/>
          <w:numId w:val="62"/>
        </w:numPr>
        <w:spacing w:after="0"/>
        <w:rPr>
          <w:rFonts w:ascii="Arial" w:eastAsia="Times New Roman" w:hAnsi="Arial" w:cs="Arial"/>
          <w:b/>
          <w:szCs w:val="20"/>
        </w:rPr>
      </w:pPr>
      <w:r w:rsidRPr="007C3FFF">
        <w:rPr>
          <w:rFonts w:ascii="Arial" w:eastAsia="Times New Roman" w:hAnsi="Arial" w:cs="Arial"/>
          <w:szCs w:val="20"/>
        </w:rPr>
        <w:t xml:space="preserve">The local government purpose of the code is to provide flexibility in zoning to facilitate </w:t>
      </w:r>
      <w:r w:rsidR="007A0DAE">
        <w:rPr>
          <w:rFonts w:ascii="Arial" w:eastAsia="Times New Roman" w:hAnsi="Arial" w:cs="Arial"/>
          <w:szCs w:val="20"/>
        </w:rPr>
        <w:t xml:space="preserve">appropriate </w:t>
      </w:r>
      <w:r w:rsidRPr="007C3FFF">
        <w:rPr>
          <w:rFonts w:ascii="Arial" w:eastAsia="Times New Roman" w:hAnsi="Arial" w:cs="Arial"/>
          <w:szCs w:val="20"/>
        </w:rPr>
        <w:t>development and promote opportunities in the smaller townships in the region</w:t>
      </w:r>
      <w:r w:rsidR="00822DA9">
        <w:rPr>
          <w:rFonts w:ascii="Arial" w:eastAsia="Times New Roman" w:hAnsi="Arial" w:cs="Arial"/>
          <w:szCs w:val="20"/>
        </w:rPr>
        <w:t>,</w:t>
      </w:r>
      <w:r w:rsidRPr="007C3FFF">
        <w:rPr>
          <w:rFonts w:ascii="Arial" w:eastAsia="Times New Roman" w:hAnsi="Arial" w:cs="Arial"/>
          <w:szCs w:val="20"/>
        </w:rPr>
        <w:t xml:space="preserve"> particularly where it is much more difficult to anticipate, plan and zone for a range of uses that may be compatible within a township and the surrounding rural area.</w:t>
      </w:r>
    </w:p>
    <w:p w:rsidR="007C3FFF" w:rsidRPr="00914EED" w:rsidRDefault="007C3FFF" w:rsidP="000646E9">
      <w:pPr>
        <w:spacing w:after="0"/>
        <w:ind w:left="851" w:hanging="851"/>
        <w:rPr>
          <w:rFonts w:ascii="Arial" w:eastAsia="Times New Roman" w:hAnsi="Arial" w:cs="Arial"/>
          <w:szCs w:val="20"/>
        </w:rPr>
      </w:pPr>
    </w:p>
    <w:p w:rsidR="007C3FFF" w:rsidRPr="007C3FFF" w:rsidRDefault="007C3FFF" w:rsidP="004848FB">
      <w:pPr>
        <w:pStyle w:val="ListParagraph"/>
        <w:numPr>
          <w:ilvl w:val="0"/>
          <w:numId w:val="62"/>
        </w:numPr>
        <w:spacing w:after="0"/>
        <w:rPr>
          <w:rFonts w:ascii="Arial" w:eastAsia="Times New Roman" w:hAnsi="Arial" w:cs="Arial"/>
          <w:szCs w:val="20"/>
        </w:rPr>
      </w:pPr>
      <w:r w:rsidRPr="007C3FFF">
        <w:rPr>
          <w:rFonts w:ascii="Arial" w:eastAsia="Times New Roman" w:hAnsi="Arial" w:cs="Arial"/>
          <w:szCs w:val="20"/>
        </w:rPr>
        <w:t xml:space="preserve">The </w:t>
      </w:r>
      <w:r w:rsidR="00AA25C7">
        <w:rPr>
          <w:rFonts w:ascii="Arial" w:eastAsia="Times New Roman" w:hAnsi="Arial" w:cs="Arial"/>
          <w:szCs w:val="20"/>
        </w:rPr>
        <w:t xml:space="preserve">purpose of the code will be </w:t>
      </w:r>
      <w:r w:rsidR="000A20DD">
        <w:rPr>
          <w:rFonts w:ascii="Arial" w:eastAsia="Times New Roman" w:hAnsi="Arial" w:cs="Arial"/>
          <w:szCs w:val="20"/>
        </w:rPr>
        <w:t>achieved</w:t>
      </w:r>
      <w:r w:rsidR="00AA25C7">
        <w:rPr>
          <w:rFonts w:ascii="Arial" w:eastAsia="Times New Roman" w:hAnsi="Arial" w:cs="Arial"/>
          <w:szCs w:val="20"/>
        </w:rPr>
        <w:t xml:space="preserve"> through the following overall outcomes</w:t>
      </w:r>
      <w:r w:rsidRPr="007C3FFF">
        <w:rPr>
          <w:rFonts w:ascii="Arial" w:eastAsia="Times New Roman" w:hAnsi="Arial" w:cs="Arial"/>
          <w:szCs w:val="20"/>
        </w:rPr>
        <w:t>:</w:t>
      </w:r>
    </w:p>
    <w:p w:rsidR="007C3FFF" w:rsidRPr="007C3FFF" w:rsidRDefault="00A46664" w:rsidP="004848FB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="007C3FFF" w:rsidRPr="007C3FFF">
        <w:rPr>
          <w:rFonts w:ascii="Arial" w:eastAsia="Times New Roman" w:hAnsi="Arial" w:cs="Arial"/>
          <w:szCs w:val="20"/>
        </w:rPr>
        <w:t xml:space="preserve"> range of land uses are provided which directly supports and services residents and visitors of the township and surrounding rural area;</w:t>
      </w:r>
    </w:p>
    <w:p w:rsidR="007C3FFF" w:rsidRPr="007C3FFF" w:rsidRDefault="00A46664" w:rsidP="004848FB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trike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7C3FFF" w:rsidRPr="007C3FFF">
        <w:rPr>
          <w:rFonts w:ascii="Arial" w:eastAsia="Times New Roman" w:hAnsi="Arial" w:cs="Arial"/>
          <w:szCs w:val="20"/>
        </w:rPr>
        <w:t xml:space="preserve">evelopment protects and enhances the unique local character of a town; </w:t>
      </w:r>
    </w:p>
    <w:p w:rsidR="007C3FFF" w:rsidRPr="007C3FFF" w:rsidRDefault="00A46664" w:rsidP="004848FB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7C3FFF" w:rsidRPr="007C3FFF">
        <w:rPr>
          <w:rFonts w:ascii="Arial" w:eastAsia="Times New Roman" w:hAnsi="Arial" w:cs="Arial"/>
          <w:szCs w:val="20"/>
        </w:rPr>
        <w:t>evelopment p</w:t>
      </w:r>
      <w:r w:rsidR="006A47A2">
        <w:rPr>
          <w:rFonts w:ascii="Arial" w:eastAsia="Times New Roman" w:hAnsi="Arial" w:cs="Arial"/>
          <w:szCs w:val="20"/>
        </w:rPr>
        <w:t>rovides a high level of amenity;</w:t>
      </w:r>
    </w:p>
    <w:p w:rsidR="007C3FFF" w:rsidRPr="007C3FFF" w:rsidRDefault="00A46664" w:rsidP="004848FB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c</w:t>
      </w:r>
      <w:r w:rsidR="007C3FFF" w:rsidRPr="007C3FFF">
        <w:rPr>
          <w:rFonts w:ascii="Arial" w:eastAsia="Times New Roman" w:hAnsi="Arial" w:cs="Arial"/>
          <w:szCs w:val="20"/>
        </w:rPr>
        <w:t>ommunity facilities and infrastructure that directly support the</w:t>
      </w:r>
      <w:r w:rsidR="006A47A2">
        <w:rPr>
          <w:rFonts w:ascii="Arial" w:eastAsia="Times New Roman" w:hAnsi="Arial" w:cs="Arial"/>
          <w:szCs w:val="20"/>
        </w:rPr>
        <w:t xml:space="preserve"> local community </w:t>
      </w:r>
      <w:r w:rsidR="007A0DAE">
        <w:rPr>
          <w:rFonts w:ascii="Arial" w:eastAsia="Times New Roman" w:hAnsi="Arial" w:cs="Arial"/>
          <w:szCs w:val="20"/>
        </w:rPr>
        <w:t>are</w:t>
      </w:r>
      <w:r w:rsidR="006A47A2">
        <w:rPr>
          <w:rFonts w:ascii="Arial" w:eastAsia="Times New Roman" w:hAnsi="Arial" w:cs="Arial"/>
          <w:szCs w:val="20"/>
        </w:rPr>
        <w:t xml:space="preserve"> facilitated;</w:t>
      </w:r>
    </w:p>
    <w:p w:rsidR="007C3FFF" w:rsidRPr="007C3FFF" w:rsidRDefault="00A46664" w:rsidP="004848FB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7C3FFF" w:rsidRPr="007C3FFF">
        <w:rPr>
          <w:rFonts w:ascii="Arial" w:eastAsia="Times New Roman" w:hAnsi="Arial" w:cs="Arial"/>
          <w:szCs w:val="20"/>
        </w:rPr>
        <w:t>evelopment has access to appropriate development infrast</w:t>
      </w:r>
      <w:r w:rsidR="006A47A2">
        <w:rPr>
          <w:rFonts w:ascii="Arial" w:eastAsia="Times New Roman" w:hAnsi="Arial" w:cs="Arial"/>
          <w:szCs w:val="20"/>
        </w:rPr>
        <w:t>ructure and essential services;</w:t>
      </w:r>
    </w:p>
    <w:p w:rsidR="003177D1" w:rsidRDefault="00A46664" w:rsidP="004848FB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</w:t>
      </w:r>
      <w:r w:rsidR="007C3FFF" w:rsidRPr="007C3FFF">
        <w:rPr>
          <w:rFonts w:ascii="Arial" w:eastAsia="Times New Roman" w:hAnsi="Arial" w:cs="Arial"/>
          <w:szCs w:val="20"/>
        </w:rPr>
        <w:t>he location and type of industrial development is carefully considered to mitigate impacts on sensitive land uses</w:t>
      </w:r>
      <w:r w:rsidR="003177D1">
        <w:rPr>
          <w:rFonts w:ascii="Arial" w:eastAsia="Times New Roman" w:hAnsi="Arial" w:cs="Arial"/>
          <w:szCs w:val="20"/>
        </w:rPr>
        <w:t>;</w:t>
      </w:r>
    </w:p>
    <w:p w:rsidR="007C3FFF" w:rsidRDefault="003177D1" w:rsidP="004848FB">
      <w:pPr>
        <w:pStyle w:val="ListParagraph"/>
        <w:numPr>
          <w:ilvl w:val="1"/>
          <w:numId w:val="62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 xml:space="preserve">development reflects and responds to the natural features and constraints of the land. </w:t>
      </w:r>
    </w:p>
    <w:p w:rsidR="001D17CC" w:rsidRDefault="001D17CC" w:rsidP="001D17CC">
      <w:pPr>
        <w:spacing w:after="0"/>
        <w:rPr>
          <w:rFonts w:ascii="Arial" w:eastAsia="Times New Roman" w:hAnsi="Arial" w:cs="Arial"/>
          <w:szCs w:val="20"/>
        </w:rPr>
      </w:pPr>
    </w:p>
    <w:p w:rsidR="001D17CC" w:rsidRDefault="001D17CC" w:rsidP="001D17CC">
      <w:pPr>
        <w:spacing w:after="0"/>
        <w:rPr>
          <w:rFonts w:ascii="Arial" w:eastAsia="Times New Roman" w:hAnsi="Arial" w:cs="Arial"/>
          <w:szCs w:val="20"/>
        </w:rPr>
      </w:pPr>
    </w:p>
    <w:p w:rsidR="001D17CC" w:rsidRDefault="001D17CC" w:rsidP="001D17CC">
      <w:pPr>
        <w:spacing w:after="0"/>
        <w:rPr>
          <w:rFonts w:ascii="Arial" w:eastAsia="Times New Roman" w:hAnsi="Arial" w:cs="Arial"/>
          <w:szCs w:val="20"/>
        </w:rPr>
      </w:pPr>
    </w:p>
    <w:p w:rsidR="001D17CC" w:rsidRDefault="001D17CC" w:rsidP="001D17CC">
      <w:pPr>
        <w:spacing w:after="0"/>
        <w:rPr>
          <w:rFonts w:ascii="Arial" w:eastAsia="Times New Roman" w:hAnsi="Arial" w:cs="Arial"/>
          <w:szCs w:val="20"/>
        </w:rPr>
      </w:pPr>
    </w:p>
    <w:p w:rsidR="001D17CC" w:rsidRPr="001D17CC" w:rsidRDefault="001D17CC" w:rsidP="001D17CC">
      <w:pPr>
        <w:spacing w:after="0"/>
        <w:rPr>
          <w:rFonts w:ascii="Arial" w:eastAsia="Times New Roman" w:hAnsi="Arial" w:cs="Arial"/>
          <w:szCs w:val="20"/>
        </w:rPr>
      </w:pPr>
    </w:p>
    <w:p w:rsidR="007C3FFF" w:rsidRPr="005A77FA" w:rsidRDefault="007C3FFF" w:rsidP="005E45C7">
      <w:pPr>
        <w:pStyle w:val="Heading4"/>
      </w:pPr>
      <w:bookmarkStart w:id="1" w:name="_Ref363553648"/>
      <w:r>
        <w:lastRenderedPageBreak/>
        <w:t>Criteria for a</w:t>
      </w:r>
      <w:r w:rsidRPr="005A77FA">
        <w:t>ssessment</w:t>
      </w:r>
      <w:bookmarkEnd w:id="1"/>
      <w:r w:rsidRPr="005A77FA">
        <w:t xml:space="preserve"> </w:t>
      </w:r>
    </w:p>
    <w:p w:rsidR="007C3FFF" w:rsidRPr="00BF128E" w:rsidRDefault="007C3FFF" w:rsidP="007C3FFF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7C3FFF" w:rsidRPr="005A77FA" w:rsidRDefault="007C3FFF" w:rsidP="007C3FFF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7C3FFF" w:rsidRPr="005A77FA" w:rsidRDefault="007C3FFF" w:rsidP="007C3FFF">
      <w:pPr>
        <w:pStyle w:val="Caption"/>
      </w:pPr>
      <w:r>
        <w:t>Table</w:t>
      </w:r>
      <w:r w:rsidR="00DB63AC">
        <w:t xml:space="preserve"> </w:t>
      </w:r>
      <w:r w:rsidR="00DB63AC">
        <w:fldChar w:fldCharType="begin"/>
      </w:r>
      <w:r w:rsidR="00DB63AC">
        <w:instrText xml:space="preserve"> REF _Ref363553648 \r \h </w:instrText>
      </w:r>
      <w:r w:rsidR="00DB63AC">
        <w:fldChar w:fldCharType="separate"/>
      </w:r>
      <w:r w:rsidR="00CF44F9">
        <w:t>6.2.25.3</w:t>
      </w:r>
      <w:r w:rsidR="00DB63AC">
        <w:fldChar w:fldCharType="end"/>
      </w:r>
      <w:r>
        <w:t>.a</w:t>
      </w:r>
      <w:r w:rsidRPr="005A77FA">
        <w:t xml:space="preserve"> </w:t>
      </w:r>
      <w:r>
        <w:t xml:space="preserve">– Township zone </w:t>
      </w:r>
      <w:r w:rsidR="0072131B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23768B" w:rsidRPr="005A77FA" w:rsidTr="0023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3768B" w:rsidRPr="005A77FA" w:rsidRDefault="0023768B" w:rsidP="0023768B">
            <w:pPr>
              <w:widowControl w:val="0"/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3768B" w:rsidRPr="005A77FA" w:rsidRDefault="0023768B" w:rsidP="0023768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3768B" w:rsidRPr="005A77FA" w:rsidRDefault="0023768B" w:rsidP="0023768B">
            <w:pPr>
              <w:widowControl w:val="0"/>
            </w:pPr>
            <w:r>
              <w:t>Acceptable outcomes</w:t>
            </w:r>
          </w:p>
        </w:tc>
      </w:tr>
      <w:tr w:rsidR="0023768B" w:rsidRPr="006F6F35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Pr="00621988" w:rsidRDefault="0023768B" w:rsidP="0023768B">
            <w:pPr>
              <w:widowControl w:val="0"/>
              <w:rPr>
                <w:b/>
              </w:rPr>
            </w:pPr>
            <w:r w:rsidRPr="00621988">
              <w:rPr>
                <w:b/>
              </w:rPr>
              <w:t>Fo</w:t>
            </w:r>
            <w:r>
              <w:rPr>
                <w:b/>
              </w:rPr>
              <w:t>r self-assessable and assessable development</w:t>
            </w:r>
          </w:p>
        </w:tc>
      </w:tr>
      <w:tr w:rsidR="0023768B" w:rsidRPr="002C79EE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23768B" w:rsidRPr="005A77FA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8F7CBA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8F7CBA">
              <w:rPr>
                <w:rFonts w:ascii="Arial" w:eastAsia="Times New Roman" w:hAnsi="Arial" w:cs="Arial"/>
                <w:b/>
                <w:szCs w:val="20"/>
              </w:rPr>
              <w:t>PO1</w:t>
            </w:r>
          </w:p>
          <w:p w:rsidR="0023768B" w:rsidRPr="008F7CBA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23768B" w:rsidRPr="007C3FFF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7C3FFF">
              <w:rPr>
                <w:rFonts w:ascii="Arial" w:eastAsia="Times New Roman" w:hAnsi="Arial" w:cs="Arial"/>
                <w:b/>
                <w:szCs w:val="20"/>
              </w:rPr>
              <w:t>AO1.1</w:t>
            </w:r>
          </w:p>
          <w:p w:rsidR="0023768B" w:rsidRPr="007C3FFF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7C3FFF">
              <w:rPr>
                <w:rFonts w:ascii="Arial" w:eastAsia="Times New Roman" w:hAnsi="Arial" w:cs="Arial"/>
                <w:szCs w:val="20"/>
              </w:rPr>
              <w:t>A use identified in</w:t>
            </w:r>
            <w:r>
              <w:rPr>
                <w:rFonts w:ascii="Arial" w:eastAsia="Times New Roman" w:hAnsi="Arial" w:cs="Arial"/>
                <w:szCs w:val="20"/>
              </w:rPr>
              <w:t xml:space="preserve"> Table </w:t>
            </w:r>
            <w:r>
              <w:rPr>
                <w:rFonts w:ascii="Arial" w:eastAsia="Times New Roman" w:hAnsi="Arial" w:cs="Arial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szCs w:val="20"/>
              </w:rPr>
              <w:instrText xml:space="preserve"> REF _Ref363553648 \r \h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</w:rPr>
              <w:t>6.2.25.3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</w:rPr>
              <w:t>.b</w:t>
            </w:r>
            <w:r w:rsidRPr="007C3FFF">
              <w:rPr>
                <w:rFonts w:ascii="Arial" w:eastAsia="Times New Roman" w:hAnsi="Arial" w:cs="Arial"/>
                <w:szCs w:val="20"/>
              </w:rPr>
              <w:t>:</w:t>
            </w:r>
          </w:p>
          <w:p w:rsidR="0023768B" w:rsidRPr="007C3FFF" w:rsidRDefault="0023768B" w:rsidP="0023768B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7C3FFF">
              <w:rPr>
                <w:rFonts w:ascii="Arial" w:eastAsia="Times New Roman" w:hAnsi="Arial" w:cs="Arial"/>
                <w:szCs w:val="20"/>
              </w:rPr>
              <w:t>(a)</w:t>
            </w:r>
            <w:r w:rsidRPr="007C3FFF">
              <w:rPr>
                <w:rFonts w:ascii="Arial" w:eastAsia="Times New Roman" w:hAnsi="Arial" w:cs="Arial"/>
                <w:szCs w:val="20"/>
              </w:rPr>
              <w:tab/>
              <w:t>is carried out in an existing building;</w:t>
            </w:r>
          </w:p>
          <w:p w:rsidR="0023768B" w:rsidRPr="007C3FFF" w:rsidRDefault="0023768B" w:rsidP="0023768B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7C3FFF">
              <w:rPr>
                <w:rFonts w:ascii="Arial" w:eastAsia="Times New Roman" w:hAnsi="Arial" w:cs="Arial"/>
                <w:szCs w:val="20"/>
              </w:rPr>
              <w:t>(b)</w:t>
            </w:r>
            <w:r w:rsidRPr="007C3FFF">
              <w:rPr>
                <w:rFonts w:ascii="Arial" w:eastAsia="Times New Roman" w:hAnsi="Arial" w:cs="Arial"/>
                <w:szCs w:val="20"/>
              </w:rPr>
              <w:tab/>
              <w:t xml:space="preserve">does not increase </w:t>
            </w:r>
            <w:r>
              <w:rPr>
                <w:rFonts w:ascii="Arial" w:eastAsia="Times New Roman" w:hAnsi="Arial" w:cs="Arial"/>
                <w:szCs w:val="20"/>
              </w:rPr>
              <w:t>the GFA</w:t>
            </w:r>
            <w:r w:rsidRPr="007C3FFF">
              <w:rPr>
                <w:rFonts w:ascii="Arial" w:eastAsia="Times New Roman" w:hAnsi="Arial" w:cs="Arial"/>
                <w:szCs w:val="20"/>
              </w:rPr>
              <w:t xml:space="preserve"> of the building;</w:t>
            </w:r>
          </w:p>
          <w:p w:rsidR="0023768B" w:rsidRPr="007C3FFF" w:rsidRDefault="0023768B" w:rsidP="0023768B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7C3FFF">
              <w:rPr>
                <w:rFonts w:ascii="Arial" w:eastAsia="Times New Roman" w:hAnsi="Arial" w:cs="Arial"/>
                <w:szCs w:val="20"/>
              </w:rPr>
              <w:t>(c)</w:t>
            </w:r>
            <w:r w:rsidRPr="007C3FFF">
              <w:rPr>
                <w:rFonts w:ascii="Arial" w:eastAsia="Times New Roman" w:hAnsi="Arial" w:cs="Arial"/>
                <w:szCs w:val="20"/>
              </w:rPr>
              <w:tab/>
              <w:t>is a single tenancy only.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7C3FFF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2C79EE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23768B" w:rsidRPr="005A77FA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2</w:t>
            </w:r>
          </w:p>
          <w:p w:rsidR="0023768B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The height of buildings and structures are consistent with the character of the township.</w:t>
            </w:r>
          </w:p>
          <w:p w:rsidR="0023768B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</w:p>
          <w:p w:rsidR="0023768B" w:rsidRDefault="0023768B" w:rsidP="0023768B">
            <w:pPr>
              <w:widowControl w:val="0"/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AO2.1.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23768B" w:rsidRDefault="0023768B" w:rsidP="0023768B">
            <w:pPr>
              <w:widowControl w:val="0"/>
              <w:rPr>
                <w:sz w:val="16"/>
                <w:szCs w:val="16"/>
              </w:rPr>
            </w:pPr>
          </w:p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AO3.1 and setbacks stated in AO4.1, AO5.1 and AO5.2 correspond with the height stated in AO2.1.  Where a proposed development exceeds the height stated in AO2.1, the proposed development will also be assessed against PO3, PO4 and PO5.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2.1</w:t>
            </w:r>
          </w:p>
          <w:p w:rsidR="0023768B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 xml:space="preserve">Buildings are not more than </w:t>
            </w:r>
            <w:r>
              <w:rPr>
                <w:rFonts w:ascii="Arial" w:eastAsia="Times New Roman" w:hAnsi="Arial" w:cs="Arial"/>
                <w:szCs w:val="20"/>
              </w:rPr>
              <w:t>8.5 metres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 and </w:t>
            </w:r>
            <w:r>
              <w:rPr>
                <w:rFonts w:ascii="Arial" w:eastAsia="Times New Roman" w:hAnsi="Arial" w:cs="Arial"/>
                <w:szCs w:val="20"/>
              </w:rPr>
              <w:t>2 storeys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 in height.</w:t>
            </w:r>
          </w:p>
          <w:p w:rsidR="0023768B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</w:p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2C79EE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23768B" w:rsidRPr="005A77FA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3</w:t>
            </w:r>
          </w:p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Site coverage of all buildings:</w:t>
            </w:r>
          </w:p>
          <w:p w:rsidR="0023768B" w:rsidRPr="004A2EBD" w:rsidRDefault="0023768B" w:rsidP="0023768B">
            <w:pPr>
              <w:widowControl w:val="0"/>
              <w:ind w:left="426" w:hanging="426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(a)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</w:r>
            <w:r>
              <w:rPr>
                <w:rFonts w:ascii="Arial" w:eastAsia="Times New Roman" w:hAnsi="Arial" w:cs="Arial"/>
                <w:szCs w:val="20"/>
              </w:rPr>
              <w:t>does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 not result in a built form that is bulky or visually obtrusive to the streetscape; </w:t>
            </w:r>
          </w:p>
          <w:p w:rsidR="0023768B" w:rsidRPr="004A2EBD" w:rsidRDefault="0023768B" w:rsidP="0023768B">
            <w:pPr>
              <w:widowControl w:val="0"/>
              <w:ind w:left="426" w:hanging="426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(b)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>respects the individual character of the township.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3.1</w:t>
            </w:r>
          </w:p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The site coverage is not more than 60%.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2C79EE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23768B" w:rsidRPr="004A2EBD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lastRenderedPageBreak/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4</w:t>
            </w:r>
          </w:p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Front building setbacks are consistent with the prevailing front setbacks in the street.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4.1</w:t>
            </w:r>
          </w:p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ew buildings are built within 20% of the average </w:t>
            </w:r>
            <w:r>
              <w:rPr>
                <w:rFonts w:ascii="Arial" w:eastAsia="Times New Roman" w:hAnsi="Arial" w:cs="Arial"/>
                <w:szCs w:val="20"/>
              </w:rPr>
              <w:t xml:space="preserve">front </w:t>
            </w:r>
            <w:r w:rsidRPr="004A2EBD">
              <w:rPr>
                <w:rFonts w:ascii="Arial" w:eastAsia="Times New Roman" w:hAnsi="Arial" w:cs="Arial"/>
                <w:szCs w:val="20"/>
              </w:rPr>
              <w:t>setback of adjoining buildings.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4A2EBD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5</w:t>
            </w:r>
          </w:p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Side and rear setbacks:</w:t>
            </w:r>
          </w:p>
          <w:p w:rsidR="0023768B" w:rsidRPr="004A2EBD" w:rsidRDefault="0023768B" w:rsidP="0023768B">
            <w:pPr>
              <w:widowControl w:val="0"/>
              <w:ind w:left="426" w:hanging="426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(a)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>are appropriate for the scale of the development and the character of the township;</w:t>
            </w:r>
          </w:p>
          <w:p w:rsidR="0023768B" w:rsidRPr="004A2EBD" w:rsidRDefault="0023768B" w:rsidP="0023768B">
            <w:pPr>
              <w:widowControl w:val="0"/>
              <w:ind w:left="426" w:hanging="426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(b)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 xml:space="preserve">provide adequate daylight for habitable rooms on adjoining </w:t>
            </w:r>
            <w:r>
              <w:rPr>
                <w:rFonts w:ascii="Arial" w:eastAsia="Times New Roman" w:hAnsi="Arial" w:cs="Arial"/>
                <w:szCs w:val="20"/>
              </w:rPr>
              <w:t>premises</w:t>
            </w:r>
            <w:r w:rsidRPr="004A2EBD">
              <w:rPr>
                <w:rFonts w:ascii="Arial" w:eastAsia="Times New Roman" w:hAnsi="Arial" w:cs="Arial"/>
                <w:szCs w:val="20"/>
              </w:rPr>
              <w:t>;</w:t>
            </w:r>
          </w:p>
          <w:p w:rsidR="0023768B" w:rsidRPr="004A2EBD" w:rsidRDefault="0023768B" w:rsidP="0023768B">
            <w:pPr>
              <w:widowControl w:val="0"/>
              <w:ind w:left="426" w:hanging="426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(c)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>provide adequate separation between residential and non-residential uses.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5.1</w:t>
            </w:r>
          </w:p>
          <w:p w:rsidR="0023768B" w:rsidRPr="004A2EBD" w:rsidRDefault="0023768B" w:rsidP="002376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Buildings are set back not less than 1.5 metres from side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4A2EBD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5.2</w:t>
            </w:r>
          </w:p>
          <w:p w:rsidR="0023768B" w:rsidRPr="004A2EB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Buildings are set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back </w:t>
            </w:r>
            <w:r>
              <w:rPr>
                <w:rFonts w:ascii="Arial" w:eastAsia="Times New Roman" w:hAnsi="Arial" w:cs="Arial"/>
                <w:szCs w:val="20"/>
              </w:rPr>
              <w:t xml:space="preserve">not less than </w:t>
            </w:r>
            <w:r w:rsidRPr="004A2EBD">
              <w:rPr>
                <w:rFonts w:ascii="Arial" w:eastAsia="Times New Roman" w:hAnsi="Arial" w:cs="Arial"/>
                <w:szCs w:val="20"/>
              </w:rPr>
              <w:t>6 metres from rear boundaries.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2C79EE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23768B" w:rsidRPr="002C79EE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23768B" w:rsidRPr="004A2EBD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6D62FE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6D62FE">
              <w:rPr>
                <w:rFonts w:ascii="Arial" w:eastAsia="Times New Roman" w:hAnsi="Arial" w:cs="Arial"/>
                <w:b/>
                <w:szCs w:val="20"/>
              </w:rPr>
              <w:t>PO6</w:t>
            </w:r>
          </w:p>
          <w:p w:rsidR="0023768B" w:rsidRPr="006D62FE" w:rsidRDefault="0023768B" w:rsidP="0023768B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6D62FE">
              <w:rPr>
                <w:rFonts w:ascii="Arial" w:hAnsi="Arial" w:cs="Arial"/>
                <w:szCs w:val="20"/>
              </w:rPr>
              <w:t>ctivities compatible with the Township zone include those that:</w:t>
            </w:r>
          </w:p>
          <w:p w:rsidR="0023768B" w:rsidRPr="006D62FE" w:rsidRDefault="0023768B" w:rsidP="0023768B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6D62FE">
              <w:rPr>
                <w:rFonts w:ascii="Arial" w:hAnsi="Arial" w:cs="Arial"/>
                <w:szCs w:val="20"/>
              </w:rPr>
              <w:t>(a)</w:t>
            </w:r>
            <w:r w:rsidRPr="006D62FE">
              <w:rPr>
                <w:rFonts w:ascii="Arial" w:hAnsi="Arial" w:cs="Arial"/>
                <w:szCs w:val="20"/>
              </w:rPr>
              <w:tab/>
              <w:t>do not compromise the hierarchy of centres in the region;</w:t>
            </w:r>
          </w:p>
          <w:p w:rsidR="0023768B" w:rsidRPr="006D62FE" w:rsidRDefault="0023768B" w:rsidP="0023768B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6D62FE">
              <w:rPr>
                <w:rFonts w:ascii="Arial" w:hAnsi="Arial" w:cs="Arial"/>
                <w:szCs w:val="20"/>
              </w:rPr>
              <w:t>(b)</w:t>
            </w:r>
            <w:r w:rsidRPr="006D62FE">
              <w:rPr>
                <w:rFonts w:ascii="Arial" w:hAnsi="Arial" w:cs="Arial"/>
                <w:szCs w:val="20"/>
              </w:rPr>
              <w:tab/>
              <w:t>service local and visitor needs of the township and its surrounding catchment;</w:t>
            </w:r>
          </w:p>
          <w:p w:rsidR="0023768B" w:rsidRPr="006D62FE" w:rsidRDefault="0023768B" w:rsidP="0023768B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6D62FE">
              <w:rPr>
                <w:rFonts w:ascii="Arial" w:hAnsi="Arial" w:cs="Arial"/>
                <w:szCs w:val="20"/>
              </w:rPr>
              <w:t>(c)</w:t>
            </w:r>
            <w:r w:rsidRPr="006D62FE">
              <w:rPr>
                <w:rFonts w:ascii="Arial" w:hAnsi="Arial" w:cs="Arial"/>
                <w:szCs w:val="20"/>
              </w:rPr>
              <w:tab/>
              <w:t>complements the scale and character of the township;</w:t>
            </w:r>
          </w:p>
          <w:p w:rsidR="0023768B" w:rsidRPr="006D62FE" w:rsidRDefault="0023768B" w:rsidP="0023768B">
            <w:pPr>
              <w:widowControl w:val="0"/>
              <w:ind w:left="426" w:hanging="426"/>
              <w:rPr>
                <w:rFonts w:ascii="Arial" w:eastAsia="Times New Roman" w:hAnsi="Arial" w:cs="Arial"/>
                <w:b/>
                <w:szCs w:val="20"/>
              </w:rPr>
            </w:pPr>
            <w:r w:rsidRPr="006D62FE">
              <w:rPr>
                <w:rFonts w:ascii="Arial" w:hAnsi="Arial" w:cs="Arial"/>
                <w:szCs w:val="20"/>
              </w:rPr>
              <w:t>(d)</w:t>
            </w:r>
            <w:r w:rsidRPr="006D62FE">
              <w:rPr>
                <w:rFonts w:ascii="Arial" w:hAnsi="Arial" w:cs="Arial"/>
                <w:szCs w:val="20"/>
              </w:rPr>
              <w:tab/>
              <w:t>maintain the main street character of townships.</w:t>
            </w:r>
          </w:p>
        </w:tc>
        <w:tc>
          <w:tcPr>
            <w:tcW w:w="1667" w:type="pct"/>
          </w:tcPr>
          <w:p w:rsidR="0023768B" w:rsidRPr="006D62FE" w:rsidRDefault="0023768B" w:rsidP="002376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6D62FE">
              <w:rPr>
                <w:rFonts w:ascii="Arial" w:eastAsia="Times New Roman" w:hAnsi="Arial" w:cs="Arial"/>
                <w:b/>
                <w:szCs w:val="20"/>
              </w:rPr>
              <w:t>AO6.1</w:t>
            </w:r>
          </w:p>
          <w:p w:rsidR="0023768B" w:rsidRPr="006D62FE" w:rsidRDefault="0023768B" w:rsidP="0023768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</w:rPr>
              <w:t>No acceptable outcomes are provided.</w:t>
            </w:r>
          </w:p>
          <w:p w:rsidR="0023768B" w:rsidRPr="006D62FE" w:rsidRDefault="0023768B" w:rsidP="0023768B">
            <w:pPr>
              <w:widowControl w:val="0"/>
              <w:ind w:left="420" w:hanging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6D62FE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5A77FA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BC0EFD" w:rsidRDefault="0023768B" w:rsidP="0023768B">
            <w:pPr>
              <w:widowControl w:val="0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P</w:t>
            </w:r>
            <w:r w:rsidRPr="00BC0EFD">
              <w:rPr>
                <w:rFonts w:eastAsia="Calibri" w:cs="Arial"/>
                <w:b/>
                <w:szCs w:val="20"/>
              </w:rPr>
              <w:t>O</w:t>
            </w:r>
            <w:r>
              <w:rPr>
                <w:rFonts w:eastAsia="Calibri" w:cs="Arial"/>
                <w:b/>
                <w:szCs w:val="20"/>
              </w:rPr>
              <w:t>7</w:t>
            </w:r>
          </w:p>
          <w:p w:rsidR="0023768B" w:rsidRPr="00B33480" w:rsidRDefault="0023768B" w:rsidP="0023768B">
            <w:pPr>
              <w:widowControl w:val="0"/>
              <w:rPr>
                <w:rFonts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 w:rsidRPr="00B33480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23768B" w:rsidRPr="00BC0EF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  <w:r w:rsidRPr="00BC0EFD">
              <w:rPr>
                <w:rFonts w:eastAsia="Calibri" w:cs="Arial"/>
                <w:b/>
                <w:szCs w:val="20"/>
              </w:rPr>
              <w:t>AO</w:t>
            </w:r>
            <w:r>
              <w:rPr>
                <w:rFonts w:eastAsia="Calibri" w:cs="Arial"/>
                <w:b/>
                <w:szCs w:val="20"/>
              </w:rPr>
              <w:t>7.1</w:t>
            </w:r>
          </w:p>
          <w:p w:rsidR="0023768B" w:rsidRPr="00B33480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BC0EFD" w:rsidRDefault="0023768B" w:rsidP="0023768B">
            <w:pPr>
              <w:widowControl w:val="0"/>
              <w:rPr>
                <w:rFonts w:eastAsia="Calibri" w:cs="Arial"/>
                <w:b/>
                <w:szCs w:val="20"/>
              </w:rPr>
            </w:pPr>
          </w:p>
        </w:tc>
      </w:tr>
      <w:tr w:rsidR="0023768B" w:rsidRPr="005A77FA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Site constraints</w:t>
            </w:r>
          </w:p>
        </w:tc>
      </w:tr>
      <w:tr w:rsidR="0023768B" w:rsidRPr="005A77FA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FC5724" w:rsidRDefault="0023768B" w:rsidP="0023768B">
            <w:pPr>
              <w:widowControl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8</w:t>
            </w:r>
          </w:p>
          <w:p w:rsidR="0023768B" w:rsidRPr="00666E8C" w:rsidRDefault="0023768B" w:rsidP="0023768B">
            <w:pPr>
              <w:widowControl w:val="0"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23768B" w:rsidRPr="00666E8C" w:rsidRDefault="0023768B" w:rsidP="0023768B">
            <w:pPr>
              <w:widowControl w:val="0"/>
              <w:rPr>
                <w:rFonts w:eastAsiaTheme="minorEastAsia"/>
                <w:lang w:eastAsia="en-AU"/>
              </w:rPr>
            </w:pPr>
          </w:p>
          <w:p w:rsidR="0023768B" w:rsidRDefault="0023768B" w:rsidP="0023768B">
            <w:pPr>
              <w:widowControl w:val="0"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lastRenderedPageBreak/>
              <w:t>Note -</w:t>
            </w:r>
            <w:r w:rsidRPr="00666E8C">
              <w:rPr>
                <w:sz w:val="16"/>
                <w:szCs w:val="16"/>
              </w:rPr>
              <w:t xml:space="preserve"> Planning 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</w:tcPr>
          <w:p w:rsidR="0023768B" w:rsidRPr="00FC5724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lastRenderedPageBreak/>
              <w:t>AO</w:t>
            </w:r>
            <w:r>
              <w:rPr>
                <w:rFonts w:cs="Arial"/>
                <w:b/>
                <w:szCs w:val="20"/>
              </w:rPr>
              <w:t>8.1</w:t>
            </w:r>
          </w:p>
          <w:p w:rsidR="0023768B" w:rsidRPr="00BC0EFD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FC5724" w:rsidRDefault="0023768B" w:rsidP="0023768B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  <w:tr w:rsidR="0023768B" w:rsidRPr="002C79EE" w:rsidTr="0023768B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Main street designs</w:t>
            </w:r>
          </w:p>
        </w:tc>
      </w:tr>
      <w:tr w:rsidR="0023768B" w:rsidRPr="004A2EBD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9</w:t>
            </w:r>
          </w:p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Building design, streetscapes and pathways and are designed to promote integration with surrounding developments and other parts of th</w:t>
            </w:r>
            <w:r>
              <w:rPr>
                <w:rFonts w:ascii="Arial" w:eastAsia="Times New Roman" w:hAnsi="Arial" w:cs="Arial"/>
                <w:szCs w:val="20"/>
              </w:rPr>
              <w:t>e township.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9.1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shd w:val="clear" w:color="auto" w:fill="FFFFFF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shd w:val="clear" w:color="auto" w:fill="FFFFFF"/>
              </w:rPr>
              <w:t>No acceptable outcomes are provided.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4A2EBD" w:rsidTr="0023768B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szCs w:val="20"/>
              </w:rPr>
              <w:t>O10</w:t>
            </w:r>
          </w:p>
          <w:p w:rsidR="0023768B" w:rsidRPr="004A2EBD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Buildings complement the character of the individual townships.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10.1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Buildings exhibit variations in their appearance to add visual interest through  a combination of the following: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(a)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>a variation of wall finishes, window treatments, balconies, awnings or other visible structural elements;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(b)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>differentiation between upper and lower levels portions of the building;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>(c)</w:t>
            </w:r>
            <w:r w:rsidRPr="004A2EBD">
              <w:rPr>
                <w:rFonts w:ascii="Arial" w:eastAsia="Times New Roman" w:hAnsi="Arial" w:cs="Arial"/>
                <w:szCs w:val="20"/>
              </w:rPr>
              <w:tab/>
              <w:t>traditional parapet designs provided to façades.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4A2EBD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PO11</w:t>
            </w:r>
          </w:p>
          <w:p w:rsidR="0023768B" w:rsidRPr="005A6EC2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Building plant or equipment cannot be viewed from public places.</w:t>
            </w:r>
          </w:p>
        </w:tc>
        <w:tc>
          <w:tcPr>
            <w:tcW w:w="1667" w:type="pct"/>
          </w:tcPr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11.1</w:t>
            </w:r>
          </w:p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4A2EBD">
              <w:rPr>
                <w:rFonts w:ascii="Arial" w:eastAsia="Times New Roman" w:hAnsi="Arial" w:cs="Arial"/>
                <w:szCs w:val="20"/>
              </w:rPr>
              <w:t xml:space="preserve">Where plant or equipment is </w:t>
            </w:r>
            <w:r>
              <w:rPr>
                <w:rFonts w:ascii="Arial" w:eastAsia="Times New Roman" w:hAnsi="Arial" w:cs="Arial"/>
                <w:szCs w:val="20"/>
              </w:rPr>
              <w:t>visible from public places</w:t>
            </w:r>
            <w:r w:rsidRPr="004A2EBD">
              <w:rPr>
                <w:rFonts w:ascii="Arial" w:eastAsia="Times New Roman" w:hAnsi="Arial" w:cs="Arial"/>
                <w:szCs w:val="20"/>
              </w:rPr>
              <w:t xml:space="preserve">, it is appropriately screened from the </w:t>
            </w:r>
            <w:r>
              <w:rPr>
                <w:rFonts w:ascii="Arial" w:eastAsia="Times New Roman" w:hAnsi="Arial" w:cs="Arial"/>
                <w:szCs w:val="20"/>
              </w:rPr>
              <w:t>view using a design feature.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4A2EBD" w:rsidRDefault="0023768B" w:rsidP="0023768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23768B" w:rsidRPr="002C79EE" w:rsidTr="002376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23768B" w:rsidRDefault="0023768B" w:rsidP="0023768B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Parking and access</w:t>
            </w:r>
          </w:p>
        </w:tc>
      </w:tr>
      <w:tr w:rsidR="0023768B" w:rsidRPr="006D62FE" w:rsidTr="0023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23768B" w:rsidRPr="006D62FE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6D62FE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12</w:t>
            </w:r>
          </w:p>
          <w:p w:rsidR="0023768B" w:rsidRPr="006D62FE" w:rsidRDefault="0023768B" w:rsidP="0023768B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6D62FE">
              <w:rPr>
                <w:rFonts w:ascii="Arial" w:eastAsia="Times New Roman" w:hAnsi="Arial" w:cs="Arial"/>
                <w:szCs w:val="20"/>
              </w:rPr>
              <w:t>Off street parking and vehicular access are designed and located to not detract from the character of the township.</w:t>
            </w:r>
            <w:r w:rsidRPr="006D62F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</w:tcPr>
          <w:p w:rsidR="0023768B" w:rsidRPr="006D62FE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6D62FE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12</w:t>
            </w:r>
            <w:r w:rsidRPr="006D62FE">
              <w:rPr>
                <w:rFonts w:ascii="Arial" w:eastAsia="Times New Roman" w:hAnsi="Arial" w:cs="Arial"/>
                <w:b/>
                <w:szCs w:val="20"/>
              </w:rPr>
              <w:t>.1</w:t>
            </w:r>
          </w:p>
          <w:p w:rsidR="0023768B" w:rsidRPr="006D62FE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6D62FE">
              <w:rPr>
                <w:rFonts w:ascii="Arial" w:eastAsia="Times New Roman" w:hAnsi="Arial" w:cs="Arial"/>
                <w:szCs w:val="20"/>
              </w:rPr>
              <w:t xml:space="preserve">No acceptable outcomes are </w:t>
            </w:r>
            <w:r>
              <w:rPr>
                <w:rFonts w:ascii="Arial" w:eastAsia="Times New Roman" w:hAnsi="Arial" w:cs="Arial"/>
                <w:szCs w:val="20"/>
              </w:rPr>
              <w:t>provided</w:t>
            </w:r>
            <w:r w:rsidRPr="006D62FE">
              <w:rPr>
                <w:rFonts w:ascii="Arial" w:eastAsia="Times New Roman" w:hAnsi="Arial" w:cs="Arial"/>
                <w:szCs w:val="20"/>
              </w:rPr>
              <w:t>.</w:t>
            </w:r>
          </w:p>
          <w:p w:rsidR="0023768B" w:rsidRPr="006D62FE" w:rsidRDefault="0023768B" w:rsidP="0023768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23768B" w:rsidRPr="006D62FE" w:rsidRDefault="0023768B" w:rsidP="0023768B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</w:tbl>
    <w:p w:rsidR="000327EA" w:rsidRDefault="000327EA" w:rsidP="00E9030E">
      <w:pPr>
        <w:pStyle w:val="Caption"/>
      </w:pPr>
    </w:p>
    <w:p w:rsidR="00E9030E" w:rsidRPr="00BA7D36" w:rsidRDefault="00E9030E" w:rsidP="00E9030E">
      <w:pPr>
        <w:pStyle w:val="Caption"/>
      </w:pPr>
      <w:r>
        <w:t xml:space="preserve">Table </w:t>
      </w:r>
      <w:r>
        <w:fldChar w:fldCharType="begin"/>
      </w:r>
      <w:r>
        <w:instrText xml:space="preserve"> REF _Ref363553648 \r \h </w:instrText>
      </w:r>
      <w:r>
        <w:fldChar w:fldCharType="separate"/>
      </w:r>
      <w:r w:rsidR="00CF44F9">
        <w:t>6.2.25.3</w:t>
      </w:r>
      <w:r>
        <w:fldChar w:fldCharType="end"/>
      </w:r>
      <w:r>
        <w:t>.b</w:t>
      </w:r>
      <w:r w:rsidRPr="00BA7D36">
        <w:t xml:space="preserve"> — </w:t>
      </w:r>
      <w:r w:rsidR="00273671">
        <w:t>Self-</w:t>
      </w:r>
      <w:r>
        <w:t>assessable interchange</w:t>
      </w:r>
      <w:r w:rsidR="00F556A5">
        <w:t>able</w:t>
      </w:r>
      <w:r>
        <w:t xml:space="preserve"> uses in compliance with AO1</w:t>
      </w:r>
      <w:r w:rsidR="00F556A5">
        <w:t>.1</w:t>
      </w:r>
    </w:p>
    <w:tbl>
      <w:tblPr>
        <w:tblW w:w="0" w:type="auto"/>
        <w:tblInd w:w="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893"/>
        <w:gridCol w:w="2893"/>
        <w:gridCol w:w="2893"/>
      </w:tblGrid>
      <w:tr w:rsidR="00C5525F" w:rsidRPr="00D412B4" w:rsidTr="00C109FD">
        <w:trPr>
          <w:trHeight w:val="153"/>
        </w:trPr>
        <w:tc>
          <w:tcPr>
            <w:tcW w:w="8679" w:type="dxa"/>
            <w:gridSpan w:val="3"/>
            <w:shd w:val="clear" w:color="auto" w:fill="A5A5A5"/>
          </w:tcPr>
          <w:p w:rsidR="00C5525F" w:rsidRPr="00D412B4" w:rsidRDefault="007A674F" w:rsidP="007A674F">
            <w:pPr>
              <w:spacing w:before="80" w:after="80" w:line="240" w:lineRule="auto"/>
              <w:rPr>
                <w:rFonts w:eastAsia="Calibri" w:cs="Arial"/>
                <w:b/>
                <w:color w:val="FFFFFF" w:themeColor="background1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I</w:t>
            </w:r>
            <w:r w:rsidRPr="007A674F"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nterchange</w:t>
            </w:r>
            <w:r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>able</w:t>
            </w:r>
            <w:r w:rsidRPr="007A674F">
              <w:rPr>
                <w:rFonts w:eastAsiaTheme="minorHAnsi"/>
                <w:b/>
                <w:bCs/>
                <w:color w:val="FFFFFF" w:themeColor="background1"/>
                <w:lang w:eastAsia="en-US"/>
              </w:rPr>
              <w:t xml:space="preserve"> uses</w:t>
            </w:r>
          </w:p>
        </w:tc>
      </w:tr>
      <w:tr w:rsidR="007A674F" w:rsidRPr="00DE74F1" w:rsidTr="007A674F">
        <w:trPr>
          <w:trHeight w:val="699"/>
        </w:trPr>
        <w:tc>
          <w:tcPr>
            <w:tcW w:w="2893" w:type="dxa"/>
            <w:shd w:val="clear" w:color="auto" w:fill="auto"/>
          </w:tcPr>
          <w:p w:rsidR="007A674F" w:rsidRPr="007A674F" w:rsidRDefault="007A674F">
            <w:pPr>
              <w:pStyle w:val="TableBullet"/>
              <w:tabs>
                <w:tab w:val="clear" w:pos="227"/>
              </w:tabs>
              <w:ind w:left="317" w:hanging="317"/>
              <w:rPr>
                <w:rFonts w:cs="Arial"/>
              </w:rPr>
            </w:pPr>
            <w:r w:rsidRPr="007A674F">
              <w:rPr>
                <w:rFonts w:cs="Arial"/>
              </w:rPr>
              <w:t xml:space="preserve">Food and drink outlet (where not </w:t>
            </w:r>
            <w:r w:rsidR="007A0DAE">
              <w:rPr>
                <w:rFonts w:cs="Arial"/>
              </w:rPr>
              <w:t xml:space="preserve">involving a </w:t>
            </w:r>
            <w:r w:rsidR="007A0DAE">
              <w:rPr>
                <w:rFonts w:cs="Arial"/>
              </w:rPr>
              <w:lastRenderedPageBreak/>
              <w:t>drive through facility</w:t>
            </w:r>
            <w:r w:rsidRPr="007A674F">
              <w:rPr>
                <w:rFonts w:cs="Arial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:rsidR="007A674F" w:rsidRDefault="007A674F" w:rsidP="007A674F">
            <w:pPr>
              <w:pStyle w:val="TableBullet"/>
              <w:tabs>
                <w:tab w:val="clear" w:pos="227"/>
              </w:tabs>
              <w:ind w:left="317" w:hanging="317"/>
              <w:rPr>
                <w:rFonts w:cs="Arial"/>
              </w:rPr>
            </w:pPr>
            <w:r w:rsidRPr="007A674F">
              <w:rPr>
                <w:rFonts w:cs="Arial"/>
              </w:rPr>
              <w:lastRenderedPageBreak/>
              <w:t xml:space="preserve">Health care services </w:t>
            </w:r>
          </w:p>
          <w:p w:rsidR="007A674F" w:rsidRPr="007A674F" w:rsidRDefault="007A674F" w:rsidP="007A674F">
            <w:pPr>
              <w:pStyle w:val="TableBullet"/>
              <w:tabs>
                <w:tab w:val="clear" w:pos="227"/>
              </w:tabs>
              <w:ind w:left="317" w:hanging="317"/>
              <w:rPr>
                <w:rFonts w:cs="Arial"/>
              </w:rPr>
            </w:pPr>
            <w:r>
              <w:rPr>
                <w:rFonts w:cs="Arial"/>
              </w:rPr>
              <w:t>Office</w:t>
            </w:r>
          </w:p>
        </w:tc>
        <w:tc>
          <w:tcPr>
            <w:tcW w:w="2893" w:type="dxa"/>
            <w:shd w:val="clear" w:color="auto" w:fill="auto"/>
          </w:tcPr>
          <w:p w:rsidR="007A674F" w:rsidRPr="007A674F" w:rsidRDefault="007A674F" w:rsidP="007A674F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A674F">
              <w:rPr>
                <w:rFonts w:cs="Arial"/>
              </w:rPr>
              <w:t xml:space="preserve">Shop (&gt;100m²) </w:t>
            </w:r>
          </w:p>
          <w:p w:rsidR="007A674F" w:rsidRPr="00B96B64" w:rsidRDefault="007A674F" w:rsidP="007A674F">
            <w:pPr>
              <w:pStyle w:val="TableBullet"/>
              <w:tabs>
                <w:tab w:val="clear" w:pos="227"/>
              </w:tabs>
              <w:ind w:left="317" w:hanging="317"/>
              <w:rPr>
                <w:rFonts w:eastAsia="Calibri" w:cs="Arial"/>
                <w:szCs w:val="20"/>
              </w:rPr>
            </w:pPr>
            <w:r w:rsidRPr="007A674F">
              <w:rPr>
                <w:rFonts w:cs="Arial"/>
              </w:rPr>
              <w:t>Service industry</w:t>
            </w:r>
          </w:p>
        </w:tc>
      </w:tr>
    </w:tbl>
    <w:p w:rsidR="00322115" w:rsidRDefault="00322115">
      <w:pPr>
        <w:rPr>
          <w:rFonts w:eastAsia="Times New Roman"/>
        </w:rPr>
      </w:pPr>
    </w:p>
    <w:sectPr w:rsidR="00322115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59" w:rsidRDefault="00232359">
      <w:pPr>
        <w:spacing w:after="0" w:line="240" w:lineRule="auto"/>
      </w:pPr>
      <w:r>
        <w:separator/>
      </w:r>
    </w:p>
  </w:endnote>
  <w:endnote w:type="continuationSeparator" w:id="0">
    <w:p w:rsidR="00232359" w:rsidRDefault="0023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F9" w:rsidRDefault="00CF44F9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2507DF1C" wp14:editId="3A070C04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F44F9" w:rsidRDefault="00CF44F9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3B64BCEF" wp14:editId="22B1019B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CF44F9" w:rsidRPr="00D66241" w:rsidRDefault="00CF44F9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 w:rsidR="00107CB9"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08213D" w:rsidRDefault="00107CB9" w:rsidP="0008213D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23768B" w:rsidRPr="0023768B">
              <w:rPr>
                <w:color w:val="0064A7"/>
                <w:sz w:val="16"/>
                <w:szCs w:val="16"/>
              </w:rPr>
              <w:t>6.2.25</w:t>
            </w:r>
            <w:r w:rsidR="0023768B" w:rsidRPr="0023768B">
              <w:rPr>
                <w:color w:val="0064A7"/>
                <w:sz w:val="16"/>
                <w:szCs w:val="16"/>
              </w:rPr>
              <w:tab/>
            </w:r>
            <w:r w:rsidR="0023768B">
              <w:rPr>
                <w:color w:val="0064A7"/>
                <w:sz w:val="16"/>
                <w:szCs w:val="16"/>
              </w:rPr>
              <w:t xml:space="preserve"> </w:t>
            </w:r>
            <w:r w:rsidR="0023768B" w:rsidRPr="0023768B">
              <w:rPr>
                <w:color w:val="0064A7"/>
                <w:sz w:val="16"/>
                <w:szCs w:val="16"/>
              </w:rPr>
              <w:t>Township zone code</w:t>
            </w:r>
            <w:r>
              <w:rPr>
                <w:color w:val="0064A7"/>
                <w:sz w:val="16"/>
                <w:szCs w:val="16"/>
              </w:rPr>
              <w:t xml:space="preserve">            </w:t>
            </w:r>
            <w:r w:rsidR="0023768B">
              <w:rPr>
                <w:color w:val="0064A7"/>
                <w:sz w:val="16"/>
                <w:szCs w:val="16"/>
              </w:rPr>
              <w:t xml:space="preserve">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E46818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</w:t>
            </w:r>
            <w:r w:rsidR="004D7B26">
              <w:rPr>
                <w:color w:val="0064A7"/>
                <w:sz w:val="16"/>
                <w:szCs w:val="16"/>
              </w:rPr>
              <w:t>CairnsPlan 2016 Version 2.1</w:t>
            </w:r>
          </w:p>
          <w:p w:rsidR="00CF44F9" w:rsidRPr="00107CB9" w:rsidRDefault="00107CB9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4D7B26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4D7B26">
              <w:rPr>
                <w:noProof/>
                <w:color w:val="0064A7"/>
                <w:sz w:val="16"/>
                <w:szCs w:val="16"/>
              </w:rPr>
              <w:t>5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59" w:rsidRDefault="00232359">
      <w:pPr>
        <w:spacing w:after="0" w:line="240" w:lineRule="auto"/>
      </w:pPr>
      <w:r>
        <w:separator/>
      </w:r>
    </w:p>
  </w:footnote>
  <w:footnote w:type="continuationSeparator" w:id="0">
    <w:p w:rsidR="00232359" w:rsidRDefault="0023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2DB0C021" wp14:editId="70C7890D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9" w:rsidRDefault="00CF44F9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31E1BA79" wp14:editId="3BBB8C73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9EA80D98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213D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17CC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2359"/>
    <w:rsid w:val="0023610D"/>
    <w:rsid w:val="00237293"/>
    <w:rsid w:val="0023768B"/>
    <w:rsid w:val="00242484"/>
    <w:rsid w:val="00246D67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65DDE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D7B26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D3E85"/>
    <w:rsid w:val="006D41FD"/>
    <w:rsid w:val="006D62FE"/>
    <w:rsid w:val="006D6371"/>
    <w:rsid w:val="006E005E"/>
    <w:rsid w:val="006E289E"/>
    <w:rsid w:val="006E45D6"/>
    <w:rsid w:val="006E4F01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31B1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46818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7B9852"/>
  <w15:docId w15:val="{DC97E1A2-DB1A-4D32-A312-C00FC0B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207334-8C86-4F32-8D0A-DA65AEF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2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2016-02-26T05:36:00Z</dcterms:created>
  <dcterms:modified xsi:type="dcterms:W3CDTF">2019-10-31T23:09:00Z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