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C3" w:rsidRDefault="000075C3" w:rsidP="00BB5EB2">
      <w:pPr>
        <w:pStyle w:val="Heading3"/>
        <w:numPr>
          <w:ilvl w:val="2"/>
          <w:numId w:val="222"/>
        </w:numPr>
      </w:pPr>
      <w:r w:rsidRPr="000075C3">
        <w:t xml:space="preserve">Reconfiguration of a lot (subdividing one lot into two lots) and associated operational work code </w:t>
      </w:r>
    </w:p>
    <w:p w:rsidR="006340BA" w:rsidRPr="000075C3" w:rsidRDefault="006340BA" w:rsidP="000075C3">
      <w:pPr>
        <w:pStyle w:val="Heading4"/>
        <w:ind w:left="851"/>
      </w:pPr>
      <w:r w:rsidRPr="000075C3">
        <w:t>Application</w:t>
      </w:r>
    </w:p>
    <w:p w:rsidR="007226E9" w:rsidRPr="005F2461" w:rsidRDefault="000075C3" w:rsidP="005F2461">
      <w:pPr>
        <w:pStyle w:val="ListParagraph"/>
        <w:numPr>
          <w:ilvl w:val="0"/>
          <w:numId w:val="185"/>
        </w:numPr>
        <w:tabs>
          <w:tab w:val="num" w:pos="567"/>
        </w:tabs>
        <w:spacing w:after="0"/>
        <w:ind w:left="567" w:hanging="567"/>
        <w:rPr>
          <w:rFonts w:ascii="Arial" w:eastAsia="Times New Roman" w:hAnsi="Arial" w:cs="Arial"/>
          <w:szCs w:val="20"/>
        </w:rPr>
      </w:pPr>
      <w:r w:rsidRPr="005F2461">
        <w:rPr>
          <w:rFonts w:ascii="Arial" w:eastAsia="Times New Roman" w:hAnsi="Arial" w:cs="Arial"/>
          <w:szCs w:val="20"/>
        </w:rPr>
        <w:t>This code applies to assessing a Reconfiguration of a lot for subdividing one lot into two lots and associated operational works</w:t>
      </w:r>
      <w:r w:rsidR="007226E9" w:rsidRPr="005F2461">
        <w:rPr>
          <w:rFonts w:ascii="Arial" w:eastAsia="Times New Roman" w:hAnsi="Arial" w:cs="Arial"/>
          <w:szCs w:val="20"/>
        </w:rPr>
        <w:t xml:space="preserve"> in accordance with Schedule 18 of the Regulation.</w:t>
      </w:r>
    </w:p>
    <w:p w:rsidR="000075C3" w:rsidRDefault="000075C3" w:rsidP="008A2656">
      <w:pPr>
        <w:tabs>
          <w:tab w:val="num" w:pos="567"/>
        </w:tabs>
        <w:spacing w:after="0"/>
        <w:rPr>
          <w:rFonts w:ascii="Arial" w:eastAsia="Times New Roman" w:hAnsi="Arial" w:cs="Arial"/>
          <w:szCs w:val="20"/>
        </w:rPr>
      </w:pPr>
    </w:p>
    <w:p w:rsidR="007226E9" w:rsidRPr="0084004B" w:rsidRDefault="007226E9" w:rsidP="008A2656">
      <w:pPr>
        <w:tabs>
          <w:tab w:val="num" w:pos="567"/>
        </w:tabs>
        <w:spacing w:after="0"/>
        <w:rPr>
          <w:rFonts w:ascii="Arial" w:eastAsia="Times New Roman" w:hAnsi="Arial" w:cs="Arial"/>
          <w:sz w:val="16"/>
          <w:szCs w:val="16"/>
        </w:rPr>
      </w:pPr>
      <w:r w:rsidRPr="0084004B">
        <w:rPr>
          <w:rFonts w:ascii="Arial" w:eastAsia="Times New Roman" w:hAnsi="Arial" w:cs="Arial"/>
          <w:sz w:val="16"/>
          <w:szCs w:val="16"/>
        </w:rPr>
        <w:t xml:space="preserve">Note </w:t>
      </w:r>
      <w:r>
        <w:rPr>
          <w:rFonts w:ascii="Arial" w:eastAsia="Times New Roman" w:hAnsi="Arial" w:cs="Arial"/>
          <w:sz w:val="16"/>
          <w:szCs w:val="16"/>
        </w:rPr>
        <w:t>–</w:t>
      </w:r>
      <w:r w:rsidRPr="0084004B">
        <w:rPr>
          <w:rFonts w:ascii="Arial" w:eastAsia="Times New Roman" w:hAnsi="Arial" w:cs="Arial"/>
          <w:sz w:val="16"/>
          <w:szCs w:val="16"/>
        </w:rPr>
        <w:t xml:space="preserve"> </w:t>
      </w:r>
      <w:r>
        <w:rPr>
          <w:rFonts w:ascii="Arial" w:eastAsia="Times New Roman" w:hAnsi="Arial" w:cs="Arial"/>
          <w:sz w:val="16"/>
          <w:szCs w:val="16"/>
        </w:rPr>
        <w:t xml:space="preserve">Development on a premises affected by an overlay does not comply with Schedule 18 of the Regulation and </w:t>
      </w:r>
      <w:r w:rsidRPr="000075C3">
        <w:rPr>
          <w:rFonts w:ascii="Arial" w:eastAsia="Times New Roman" w:hAnsi="Arial" w:cs="Arial"/>
          <w:sz w:val="16"/>
          <w:szCs w:val="16"/>
        </w:rPr>
        <w:t xml:space="preserve">a development application for assessable development must </w:t>
      </w:r>
      <w:r w:rsidR="00630F9D">
        <w:rPr>
          <w:rFonts w:ascii="Arial" w:eastAsia="Times New Roman" w:hAnsi="Arial" w:cs="Arial"/>
          <w:sz w:val="16"/>
          <w:szCs w:val="16"/>
        </w:rPr>
        <w:t>be made to the local government.</w:t>
      </w:r>
    </w:p>
    <w:p w:rsidR="000075C3" w:rsidRPr="004F4981" w:rsidRDefault="000075C3" w:rsidP="008A2656">
      <w:pPr>
        <w:tabs>
          <w:tab w:val="num" w:pos="567"/>
        </w:tabs>
        <w:spacing w:after="0" w:line="240" w:lineRule="auto"/>
        <w:rPr>
          <w:rFonts w:ascii="Arial" w:eastAsia="Times New Roman" w:hAnsi="Arial" w:cs="Arial"/>
          <w:szCs w:val="20"/>
        </w:rPr>
      </w:pPr>
    </w:p>
    <w:p w:rsidR="000075C3" w:rsidRPr="004F4981" w:rsidRDefault="000075C3" w:rsidP="005F2461">
      <w:pPr>
        <w:pStyle w:val="ListParagraph"/>
        <w:numPr>
          <w:ilvl w:val="0"/>
          <w:numId w:val="185"/>
        </w:numPr>
        <w:tabs>
          <w:tab w:val="num" w:pos="567"/>
        </w:tabs>
        <w:spacing w:after="0"/>
        <w:ind w:left="567" w:hanging="567"/>
        <w:rPr>
          <w:rFonts w:ascii="Arial" w:eastAsia="Times New Roman" w:hAnsi="Arial" w:cs="Arial"/>
          <w:szCs w:val="20"/>
        </w:rPr>
      </w:pPr>
      <w:r w:rsidRPr="00DE589A">
        <w:rPr>
          <w:rFonts w:ascii="Arial" w:eastAsia="Times New Roman" w:hAnsi="Arial" w:cs="Arial"/>
          <w:szCs w:val="20"/>
        </w:rPr>
        <w:t>When using this code, reference should be made to Part 5.</w:t>
      </w:r>
    </w:p>
    <w:p w:rsidR="006340BA" w:rsidRPr="005A77FA" w:rsidRDefault="006340BA" w:rsidP="008A2656">
      <w:pPr>
        <w:pStyle w:val="Heading4"/>
        <w:ind w:left="851"/>
      </w:pPr>
      <w:r w:rsidRPr="005A77FA">
        <w:t xml:space="preserve">Purpose </w:t>
      </w:r>
    </w:p>
    <w:p w:rsidR="000075C3" w:rsidRDefault="000075C3" w:rsidP="008A2656">
      <w:pPr>
        <w:pStyle w:val="ListParagraph"/>
        <w:numPr>
          <w:ilvl w:val="0"/>
          <w:numId w:val="57"/>
        </w:numPr>
        <w:spacing w:after="0"/>
        <w:rPr>
          <w:rFonts w:ascii="Arial" w:eastAsia="Times New Roman" w:hAnsi="Arial" w:cs="Arial"/>
          <w:szCs w:val="20"/>
        </w:rPr>
      </w:pPr>
      <w:r w:rsidRPr="000075C3">
        <w:rPr>
          <w:rFonts w:ascii="Arial" w:eastAsia="Times New Roman" w:hAnsi="Arial" w:cs="Arial"/>
          <w:szCs w:val="20"/>
        </w:rPr>
        <w:t>The purpose of the reconfiguring a lot (subdividing one lot into two lots) and associated operational work code is for assessing requests for compliance assessment for development for reconfiguring a lot that requires compliance assessment as prescribed in Part 5, section 5.</w:t>
      </w:r>
      <w:r w:rsidR="006E3845">
        <w:rPr>
          <w:rFonts w:ascii="Arial" w:eastAsia="Times New Roman" w:hAnsi="Arial" w:cs="Arial"/>
          <w:szCs w:val="20"/>
        </w:rPr>
        <w:t>5.</w:t>
      </w:r>
      <w:r w:rsidRPr="000075C3">
        <w:rPr>
          <w:rFonts w:ascii="Arial" w:eastAsia="Times New Roman" w:hAnsi="Arial" w:cs="Arial"/>
          <w:szCs w:val="20"/>
        </w:rPr>
        <w:t xml:space="preserve"> </w:t>
      </w:r>
    </w:p>
    <w:p w:rsidR="000075C3" w:rsidRDefault="000075C3" w:rsidP="008A2656">
      <w:pPr>
        <w:spacing w:after="0"/>
        <w:rPr>
          <w:rFonts w:ascii="Arial" w:eastAsia="Times New Roman" w:hAnsi="Arial" w:cs="Arial"/>
          <w:sz w:val="16"/>
          <w:szCs w:val="16"/>
        </w:rPr>
      </w:pPr>
    </w:p>
    <w:p w:rsidR="000075C3" w:rsidRPr="000075C3" w:rsidRDefault="000075C3" w:rsidP="008A2656">
      <w:pPr>
        <w:spacing w:after="0"/>
        <w:rPr>
          <w:rFonts w:ascii="Arial" w:eastAsia="Times New Roman" w:hAnsi="Arial" w:cs="Arial"/>
          <w:sz w:val="16"/>
          <w:szCs w:val="16"/>
        </w:rPr>
      </w:pPr>
      <w:r w:rsidRPr="000075C3">
        <w:rPr>
          <w:rFonts w:ascii="Arial" w:eastAsia="Times New Roman" w:hAnsi="Arial" w:cs="Arial"/>
          <w:sz w:val="16"/>
          <w:szCs w:val="16"/>
        </w:rPr>
        <w:t xml:space="preserve">Note – Development subject to compliance assessment must be able to achieve compliance with the compliance outcomes for a compliance permit to be issued, </w:t>
      </w:r>
    </w:p>
    <w:p w:rsidR="000075C3" w:rsidRPr="000075C3" w:rsidRDefault="000075C3" w:rsidP="008A2656">
      <w:pPr>
        <w:spacing w:after="0"/>
        <w:rPr>
          <w:rFonts w:ascii="Arial" w:eastAsia="Times New Roman" w:hAnsi="Arial" w:cs="Arial"/>
          <w:sz w:val="16"/>
          <w:szCs w:val="16"/>
        </w:rPr>
      </w:pPr>
    </w:p>
    <w:p w:rsidR="000075C3" w:rsidRPr="000075C3" w:rsidRDefault="000075C3" w:rsidP="008A2656">
      <w:pPr>
        <w:spacing w:after="0"/>
        <w:rPr>
          <w:rFonts w:ascii="Arial" w:eastAsia="Times New Roman" w:hAnsi="Arial" w:cs="Arial"/>
          <w:sz w:val="16"/>
          <w:szCs w:val="16"/>
        </w:rPr>
      </w:pPr>
      <w:r w:rsidRPr="000075C3">
        <w:rPr>
          <w:rFonts w:ascii="Arial" w:eastAsia="Times New Roman" w:hAnsi="Arial" w:cs="Arial"/>
          <w:sz w:val="16"/>
          <w:szCs w:val="16"/>
        </w:rPr>
        <w:t xml:space="preserve">Note – If compliance with the code is not possible, the development cannot be considered for compliance assessment and a development application for assessable development must be made to the local government as outlined in Schedule 18 of the Regulation. </w:t>
      </w:r>
    </w:p>
    <w:p w:rsidR="006340BA" w:rsidRPr="005A77FA" w:rsidRDefault="006340BA" w:rsidP="008A2656">
      <w:pPr>
        <w:pStyle w:val="Heading4"/>
        <w:ind w:left="851"/>
      </w:pPr>
      <w:bookmarkStart w:id="0" w:name="_Ref364683400"/>
      <w:r>
        <w:t>Criteria for a</w:t>
      </w:r>
      <w:r w:rsidRPr="005A77FA">
        <w:t>ssessment</w:t>
      </w:r>
      <w:bookmarkEnd w:id="0"/>
      <w:r w:rsidRPr="005A77FA">
        <w:t xml:space="preserve"> </w:t>
      </w:r>
      <w:bookmarkStart w:id="1" w:name="_GoBack"/>
      <w:bookmarkEnd w:id="1"/>
    </w:p>
    <w:p w:rsidR="006340BA" w:rsidRPr="00BF128E" w:rsidRDefault="006340BA" w:rsidP="006340BA">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sidR="006E3845">
        <w:rPr>
          <w:rFonts w:ascii="Arial" w:eastAsia="Times New Roman" w:hAnsi="Arial" w:cs="Arial"/>
          <w:szCs w:val="20"/>
        </w:rPr>
        <w:t>compliance</w:t>
      </w:r>
      <w:r w:rsidRPr="00BF128E">
        <w:rPr>
          <w:rFonts w:ascii="Arial" w:eastAsia="Times New Roman" w:hAnsi="Arial" w:cs="Arial"/>
          <w:szCs w:val="20"/>
        </w:rPr>
        <w:t xml:space="preserve"> development</w:t>
      </w:r>
    </w:p>
    <w:p w:rsidR="006340BA" w:rsidRPr="005A77FA" w:rsidRDefault="006340BA" w:rsidP="006340BA">
      <w:pPr>
        <w:spacing w:after="0" w:line="240" w:lineRule="auto"/>
        <w:rPr>
          <w:rFonts w:ascii="Arial" w:eastAsia="Times New Roman" w:hAnsi="Arial" w:cs="Arial"/>
          <w:szCs w:val="20"/>
        </w:rPr>
      </w:pPr>
    </w:p>
    <w:p w:rsidR="006340BA" w:rsidRPr="005A77FA" w:rsidRDefault="006340BA" w:rsidP="006340BA">
      <w:pPr>
        <w:pStyle w:val="Caption"/>
      </w:pPr>
      <w:r>
        <w:t xml:space="preserve">Table </w:t>
      </w:r>
      <w:r w:rsidR="000075C3">
        <w:fldChar w:fldCharType="begin"/>
      </w:r>
      <w:r w:rsidR="000075C3">
        <w:instrText xml:space="preserve"> REF _Ref364683400 \r \h </w:instrText>
      </w:r>
      <w:r w:rsidR="000075C3">
        <w:fldChar w:fldCharType="separate"/>
      </w:r>
      <w:r w:rsidR="001746EE">
        <w:t>9.2.3.3</w:t>
      </w:r>
      <w:r w:rsidR="000075C3">
        <w:fldChar w:fldCharType="end"/>
      </w:r>
      <w:r>
        <w:t>.a</w:t>
      </w:r>
      <w:r w:rsidRPr="005A77FA">
        <w:t xml:space="preserve"> </w:t>
      </w:r>
      <w:r>
        <w:t xml:space="preserve">– </w:t>
      </w:r>
      <w:r w:rsidR="000075C3">
        <w:t xml:space="preserve">Reconfiguration of a lot (subdividing one lot into two lots) and associated operational work code </w:t>
      </w:r>
      <w:r w:rsidR="006E3845">
        <w:t xml:space="preserve">– </w:t>
      </w:r>
      <w:r w:rsidR="00D74A42">
        <w:t>compliance assessment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1323"/>
        <w:gridCol w:w="6486"/>
        <w:gridCol w:w="6483"/>
      </w:tblGrid>
      <w:tr w:rsidR="00BB5EB2" w:rsidRPr="005A77FA" w:rsidTr="00BB5EB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732" w:type="pct"/>
            <w:gridSpan w:val="2"/>
            <w:tcBorders>
              <w:top w:val="single" w:sz="4" w:space="0" w:color="A5A5A5" w:themeColor="accent3"/>
              <w:bottom w:val="single" w:sz="4" w:space="0" w:color="A5A5A5" w:themeColor="accent3"/>
            </w:tcBorders>
          </w:tcPr>
          <w:p w:rsidR="00BB5EB2" w:rsidRPr="005A77FA" w:rsidRDefault="00BB5EB2" w:rsidP="00FE4949">
            <w:r>
              <w:t>Compliance outcomes (CO)</w:t>
            </w:r>
          </w:p>
        </w:tc>
        <w:tc>
          <w:tcPr>
            <w:tcW w:w="2268" w:type="pct"/>
            <w:tcBorders>
              <w:top w:val="single" w:sz="4" w:space="0" w:color="A5A5A5" w:themeColor="accent3"/>
              <w:bottom w:val="single" w:sz="4" w:space="0" w:color="A5A5A5" w:themeColor="accent3"/>
            </w:tcBorders>
          </w:tcPr>
          <w:p w:rsidR="00BB5EB2" w:rsidRDefault="00BB5EB2" w:rsidP="00FE4949">
            <w:pPr>
              <w:cnfStyle w:val="100000000000" w:firstRow="1" w:lastRow="0" w:firstColumn="0" w:lastColumn="0" w:oddVBand="0" w:evenVBand="0" w:oddHBand="0" w:evenHBand="0" w:firstRowFirstColumn="0" w:firstRowLastColumn="0" w:lastRowFirstColumn="0" w:lastRowLastColumn="0"/>
            </w:pPr>
            <w:r>
              <w:t>Applicant response</w:t>
            </w:r>
          </w:p>
        </w:tc>
      </w:tr>
      <w:tr w:rsidR="00BB5EB2" w:rsidRPr="002C79EE"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B5EB2" w:rsidRDefault="00BB5EB2" w:rsidP="00F649EC">
            <w:pPr>
              <w:rPr>
                <w:rStyle w:val="Strong"/>
              </w:rPr>
            </w:pPr>
            <w:r>
              <w:rPr>
                <w:rStyle w:val="Strong"/>
              </w:rPr>
              <w:t>Lot design</w:t>
            </w: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A520DF" w:rsidRDefault="00BB5EB2" w:rsidP="00FE4949">
            <w:pPr>
              <w:rPr>
                <w:rFonts w:ascii="Arial" w:eastAsia="Times New Roman" w:hAnsi="Arial" w:cs="Arial"/>
                <w:b/>
                <w:szCs w:val="20"/>
              </w:rPr>
            </w:pPr>
            <w:r>
              <w:rPr>
                <w:rFonts w:ascii="Arial" w:eastAsia="Times New Roman" w:hAnsi="Arial" w:cs="Arial"/>
                <w:b/>
                <w:szCs w:val="20"/>
              </w:rPr>
              <w:t>C</w:t>
            </w:r>
            <w:r w:rsidRPr="00A520DF">
              <w:rPr>
                <w:rFonts w:ascii="Arial" w:eastAsia="Times New Roman" w:hAnsi="Arial" w:cs="Arial"/>
                <w:b/>
                <w:szCs w:val="20"/>
              </w:rPr>
              <w:t>O1</w:t>
            </w:r>
          </w:p>
          <w:p w:rsidR="00BB5EB2" w:rsidRPr="00C003B9" w:rsidRDefault="00BB5EB2" w:rsidP="00FE4949">
            <w:pPr>
              <w:rPr>
                <w:rFonts w:eastAsia="Times New Roman" w:cstheme="minorHAnsi"/>
                <w:szCs w:val="20"/>
              </w:rPr>
            </w:pPr>
          </w:p>
        </w:tc>
        <w:tc>
          <w:tcPr>
            <w:tcW w:w="2269" w:type="pct"/>
          </w:tcPr>
          <w:p w:rsidR="00BB5EB2" w:rsidRPr="00C003B9" w:rsidRDefault="00BB5EB2" w:rsidP="0084004B">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rPr>
                <w:rFonts w:ascii="Arial" w:eastAsia="Times New Roman" w:hAnsi="Arial" w:cs="Arial"/>
                <w:szCs w:val="20"/>
                <w:lang w:eastAsia="en-AU"/>
              </w:rPr>
              <w:t>E</w:t>
            </w:r>
            <w:r w:rsidRPr="00B24B1B">
              <w:rPr>
                <w:rFonts w:ascii="Arial" w:eastAsia="Times New Roman" w:hAnsi="Arial" w:cs="Arial"/>
                <w:szCs w:val="20"/>
                <w:lang w:eastAsia="en-AU"/>
              </w:rPr>
              <w:t xml:space="preserve">ach lot </w:t>
            </w:r>
            <w:r>
              <w:rPr>
                <w:rFonts w:ascii="Arial" w:eastAsia="Times New Roman" w:hAnsi="Arial" w:cs="Arial"/>
                <w:szCs w:val="20"/>
                <w:lang w:eastAsia="en-AU"/>
              </w:rPr>
              <w:t>is to</w:t>
            </w:r>
            <w:r w:rsidRPr="00B24B1B">
              <w:rPr>
                <w:rFonts w:ascii="Arial" w:eastAsia="Times New Roman" w:hAnsi="Arial" w:cs="Arial"/>
                <w:szCs w:val="20"/>
                <w:lang w:eastAsia="en-AU"/>
              </w:rPr>
              <w:t xml:space="preserve"> comply with the </w:t>
            </w:r>
            <w:r>
              <w:rPr>
                <w:rFonts w:ascii="Arial" w:eastAsia="Times New Roman" w:hAnsi="Arial" w:cs="Arial"/>
                <w:szCs w:val="20"/>
                <w:lang w:eastAsia="en-AU"/>
              </w:rPr>
              <w:t xml:space="preserve">minimum road </w:t>
            </w:r>
            <w:r w:rsidRPr="00B24B1B">
              <w:rPr>
                <w:rFonts w:ascii="Arial" w:eastAsia="Times New Roman" w:hAnsi="Arial" w:cs="Arial"/>
                <w:szCs w:val="20"/>
                <w:lang w:eastAsia="en-AU"/>
              </w:rPr>
              <w:t>frontage requirements</w:t>
            </w:r>
            <w:r>
              <w:rPr>
                <w:rFonts w:ascii="Arial" w:eastAsia="Times New Roman" w:hAnsi="Arial" w:cs="Arial"/>
                <w:szCs w:val="20"/>
                <w:lang w:eastAsia="en-AU"/>
              </w:rPr>
              <w:t xml:space="preserve"> in Table </w:t>
            </w:r>
            <w:r>
              <w:rPr>
                <w:rFonts w:ascii="Arial" w:eastAsia="Times New Roman" w:hAnsi="Arial" w:cs="Arial"/>
                <w:szCs w:val="20"/>
              </w:rPr>
              <w:fldChar w:fldCharType="begin"/>
            </w:r>
            <w:r>
              <w:rPr>
                <w:rFonts w:ascii="Arial" w:eastAsia="Times New Roman" w:hAnsi="Arial" w:cs="Arial"/>
                <w:szCs w:val="20"/>
                <w:lang w:eastAsia="en-AU"/>
              </w:rPr>
              <w:instrText xml:space="preserve"> REF _Ref364683400 \r \h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szCs w:val="20"/>
                <w:lang w:eastAsia="en-AU"/>
              </w:rPr>
              <w:t>9.2.3.3</w:t>
            </w:r>
            <w:r>
              <w:rPr>
                <w:rFonts w:ascii="Arial" w:eastAsia="Times New Roman" w:hAnsi="Arial" w:cs="Arial"/>
                <w:szCs w:val="20"/>
              </w:rPr>
              <w:fldChar w:fldCharType="end"/>
            </w:r>
            <w:r>
              <w:rPr>
                <w:rFonts w:ascii="Arial" w:eastAsia="Times New Roman" w:hAnsi="Arial" w:cs="Arial"/>
                <w:szCs w:val="20"/>
                <w:lang w:eastAsia="en-AU"/>
              </w:rPr>
              <w:t>.b for the relevant zone.</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Default="00BB5EB2" w:rsidP="00FE4949">
            <w:pPr>
              <w:rPr>
                <w:rFonts w:ascii="Arial" w:eastAsia="Times New Roman" w:hAnsi="Arial" w:cs="Arial"/>
                <w:b/>
                <w:szCs w:val="20"/>
              </w:rPr>
            </w:pPr>
            <w:r>
              <w:rPr>
                <w:rFonts w:ascii="Arial" w:eastAsia="Times New Roman" w:hAnsi="Arial" w:cs="Arial"/>
                <w:b/>
                <w:szCs w:val="20"/>
              </w:rPr>
              <w:t>CO2</w:t>
            </w:r>
          </w:p>
        </w:tc>
        <w:tc>
          <w:tcPr>
            <w:tcW w:w="2269" w:type="pct"/>
          </w:tcPr>
          <w:p w:rsidR="00BB5EB2" w:rsidRPr="00B24B1B" w:rsidDel="00A45DB2" w:rsidRDefault="00BB5EB2" w:rsidP="008400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 xml:space="preserve">Each lot is to comply with the minimum lot size requirements in Table </w:t>
            </w:r>
            <w:r>
              <w:rPr>
                <w:rFonts w:ascii="Arial" w:eastAsia="Times New Roman" w:hAnsi="Arial" w:cs="Arial"/>
                <w:szCs w:val="20"/>
              </w:rPr>
              <w:fldChar w:fldCharType="begin"/>
            </w:r>
            <w:r>
              <w:rPr>
                <w:rFonts w:ascii="Arial" w:eastAsia="Times New Roman" w:hAnsi="Arial" w:cs="Arial"/>
                <w:szCs w:val="20"/>
              </w:rPr>
              <w:instrText xml:space="preserve"> REF _Ref364683400 \r \h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szCs w:val="20"/>
              </w:rPr>
              <w:t>9.2.3.3</w:t>
            </w:r>
            <w:r>
              <w:rPr>
                <w:rFonts w:ascii="Arial" w:eastAsia="Times New Roman" w:hAnsi="Arial" w:cs="Arial"/>
                <w:szCs w:val="20"/>
              </w:rPr>
              <w:fldChar w:fldCharType="end"/>
            </w:r>
            <w:r>
              <w:rPr>
                <w:rFonts w:ascii="Arial" w:eastAsia="Times New Roman" w:hAnsi="Arial" w:cs="Arial"/>
                <w:szCs w:val="20"/>
              </w:rPr>
              <w:t>.b for the relevant zone.</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rPr>
            </w:pPr>
            <w:r w:rsidRPr="0004363A">
              <w:rPr>
                <w:rFonts w:ascii="Arial" w:eastAsia="Times New Roman" w:hAnsi="Arial" w:cs="Arial"/>
                <w:b/>
                <w:szCs w:val="20"/>
              </w:rPr>
              <w:t>CO</w:t>
            </w:r>
            <w:r>
              <w:rPr>
                <w:rFonts w:ascii="Arial" w:eastAsia="Times New Roman" w:hAnsi="Arial" w:cs="Arial"/>
                <w:b/>
                <w:szCs w:val="20"/>
              </w:rPr>
              <w:t>3</w:t>
            </w:r>
          </w:p>
        </w:tc>
        <w:tc>
          <w:tcPr>
            <w:tcW w:w="2269" w:type="pct"/>
          </w:tcPr>
          <w:p w:rsidR="00BB5EB2" w:rsidRPr="0004363A" w:rsidRDefault="00BB5EB2" w:rsidP="00FE49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 xml:space="preserve">There are no building envelope requirements for reconfiguring a lot (subdividing one lot into two lots) and associated operational work. </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FE4949">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rPr>
            </w:pPr>
            <w:r w:rsidRPr="0004363A">
              <w:rPr>
                <w:rFonts w:ascii="Arial" w:eastAsia="Times New Roman" w:hAnsi="Arial" w:cs="Arial"/>
                <w:b/>
                <w:szCs w:val="20"/>
              </w:rPr>
              <w:t>CO</w:t>
            </w:r>
            <w:r>
              <w:rPr>
                <w:rFonts w:ascii="Arial" w:eastAsia="Times New Roman" w:hAnsi="Arial" w:cs="Arial"/>
                <w:b/>
                <w:szCs w:val="20"/>
              </w:rPr>
              <w:t>4</w:t>
            </w:r>
          </w:p>
        </w:tc>
        <w:tc>
          <w:tcPr>
            <w:tcW w:w="2269" w:type="pct"/>
          </w:tcPr>
          <w:p w:rsidR="00BB5EB2" w:rsidRPr="0004363A" w:rsidRDefault="00BB5EB2" w:rsidP="00FE49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No rear lots are created.</w:t>
            </w:r>
          </w:p>
        </w:tc>
        <w:tc>
          <w:tcPr>
            <w:cnfStyle w:val="000010000000" w:firstRow="0" w:lastRow="0" w:firstColumn="0" w:lastColumn="0" w:oddVBand="1" w:evenVBand="0" w:oddHBand="0" w:evenHBand="0" w:firstRowFirstColumn="0" w:firstRowLastColumn="0" w:lastRowFirstColumn="0" w:lastRowLastColumn="0"/>
            <w:tcW w:w="2268" w:type="pct"/>
          </w:tcPr>
          <w:p w:rsidR="00A6444A" w:rsidRDefault="00A6444A" w:rsidP="00FE4949">
            <w:pPr>
              <w:rPr>
                <w:rFonts w:ascii="Arial" w:eastAsia="Times New Roman" w:hAnsi="Arial" w:cs="Arial"/>
                <w:szCs w:val="20"/>
              </w:rPr>
            </w:pPr>
          </w:p>
          <w:p w:rsidR="00BB5EB2" w:rsidRPr="00A6444A" w:rsidRDefault="00BB5EB2" w:rsidP="00A6444A">
            <w:pPr>
              <w:jc w:val="right"/>
              <w:rPr>
                <w:rFonts w:ascii="Arial" w:eastAsia="Times New Roman" w:hAnsi="Arial" w:cs="Arial"/>
                <w:szCs w:val="20"/>
              </w:rPr>
            </w:pPr>
          </w:p>
        </w:tc>
      </w:tr>
      <w:tr w:rsidR="00BB5EB2" w:rsidRPr="005A77FA" w:rsidTr="00BB5EB2">
        <w:trPr>
          <w:trHeight w:val="644"/>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rPr>
            </w:pPr>
            <w:r w:rsidRPr="0004363A">
              <w:rPr>
                <w:rFonts w:ascii="Arial" w:eastAsia="Times New Roman" w:hAnsi="Arial" w:cs="Arial"/>
                <w:b/>
                <w:szCs w:val="20"/>
              </w:rPr>
              <w:lastRenderedPageBreak/>
              <w:t>CO</w:t>
            </w:r>
            <w:r>
              <w:rPr>
                <w:rFonts w:ascii="Arial" w:eastAsia="Times New Roman" w:hAnsi="Arial" w:cs="Arial"/>
                <w:b/>
                <w:szCs w:val="20"/>
              </w:rPr>
              <w:t>5</w:t>
            </w:r>
          </w:p>
        </w:tc>
        <w:tc>
          <w:tcPr>
            <w:tcW w:w="2269" w:type="pct"/>
          </w:tcPr>
          <w:p w:rsidR="00BB5EB2" w:rsidRPr="0004363A" w:rsidRDefault="00BB5EB2" w:rsidP="005828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The reconfiguration ensures that any existing or proposed buildings and structures are set back to any new property boundary in accordance with the setback requirements in Table </w:t>
            </w:r>
            <w:r>
              <w:rPr>
                <w:rFonts w:ascii="Arial" w:eastAsia="Times New Roman" w:hAnsi="Arial" w:cs="Arial"/>
                <w:szCs w:val="20"/>
              </w:rPr>
              <w:fldChar w:fldCharType="begin"/>
            </w:r>
            <w:r>
              <w:rPr>
                <w:rFonts w:ascii="Arial" w:eastAsia="Times New Roman" w:hAnsi="Arial" w:cs="Arial"/>
                <w:szCs w:val="20"/>
                <w:lang w:eastAsia="en-AU"/>
              </w:rPr>
              <w:instrText xml:space="preserve"> REF _Ref364683400 \r \h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szCs w:val="20"/>
                <w:lang w:eastAsia="en-AU"/>
              </w:rPr>
              <w:t>9.2.3.3</w:t>
            </w:r>
            <w:r>
              <w:rPr>
                <w:rFonts w:ascii="Arial" w:eastAsia="Times New Roman" w:hAnsi="Arial" w:cs="Arial"/>
                <w:szCs w:val="20"/>
              </w:rPr>
              <w:fldChar w:fldCharType="end"/>
            </w:r>
            <w:r>
              <w:rPr>
                <w:rFonts w:ascii="Arial" w:eastAsia="Times New Roman" w:hAnsi="Arial" w:cs="Arial"/>
                <w:szCs w:val="20"/>
                <w:lang w:eastAsia="en-AU"/>
              </w:rPr>
              <w:t>.b.</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582821">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rPr>
            </w:pPr>
            <w:r w:rsidRPr="0004363A">
              <w:rPr>
                <w:rFonts w:ascii="Arial" w:eastAsia="Times New Roman" w:hAnsi="Arial" w:cs="Arial"/>
                <w:b/>
                <w:szCs w:val="20"/>
              </w:rPr>
              <w:t>CO</w:t>
            </w:r>
            <w:r>
              <w:rPr>
                <w:rFonts w:ascii="Arial" w:eastAsia="Times New Roman" w:hAnsi="Arial" w:cs="Arial"/>
                <w:b/>
                <w:szCs w:val="20"/>
              </w:rPr>
              <w:t>6</w:t>
            </w:r>
          </w:p>
        </w:tc>
        <w:tc>
          <w:tcPr>
            <w:tcW w:w="2269" w:type="pct"/>
          </w:tcPr>
          <w:p w:rsidR="00BB5EB2" w:rsidRPr="0004363A" w:rsidRDefault="00BB5EB2" w:rsidP="005828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 xml:space="preserve">The reconfiguration enables proposed buildings and structures </w:t>
            </w:r>
            <w:r>
              <w:rPr>
                <w:rFonts w:ascii="Arial" w:eastAsia="Times New Roman" w:hAnsi="Arial" w:cs="Arial"/>
                <w:szCs w:val="20"/>
                <w:lang w:eastAsia="en-AU"/>
              </w:rPr>
              <w:t xml:space="preserve">to </w:t>
            </w:r>
            <w:r w:rsidRPr="0004363A">
              <w:rPr>
                <w:rFonts w:ascii="Arial" w:eastAsia="Times New Roman" w:hAnsi="Arial" w:cs="Arial"/>
                <w:szCs w:val="20"/>
                <w:lang w:eastAsia="en-AU"/>
              </w:rPr>
              <w:t>avoid easements, such as easements for trunk sewer lines. No new lots are created where proposed buildings and structures cannot be constructed d</w:t>
            </w:r>
            <w:r>
              <w:rPr>
                <w:rFonts w:ascii="Arial" w:eastAsia="Times New Roman" w:hAnsi="Arial" w:cs="Arial"/>
                <w:szCs w:val="20"/>
                <w:lang w:eastAsia="en-AU"/>
              </w:rPr>
              <w:t>ue</w:t>
            </w:r>
            <w:r w:rsidRPr="0004363A">
              <w:rPr>
                <w:rFonts w:ascii="Arial" w:eastAsia="Times New Roman" w:hAnsi="Arial" w:cs="Arial"/>
                <w:szCs w:val="20"/>
                <w:lang w:eastAsia="en-AU"/>
              </w:rPr>
              <w:t xml:space="preserve"> to existing or planned underground or above ground infrastructure. </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582821">
            <w:pPr>
              <w:rPr>
                <w:rFonts w:ascii="Arial" w:eastAsia="Times New Roman" w:hAnsi="Arial" w:cs="Arial"/>
                <w:szCs w:val="20"/>
              </w:rPr>
            </w:pPr>
          </w:p>
        </w:tc>
      </w:tr>
      <w:tr w:rsidR="00BB5EB2" w:rsidRPr="005A77FA" w:rsidTr="00BB5EB2">
        <w:trPr>
          <w:trHeight w:val="491"/>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7</w:t>
            </w:r>
          </w:p>
          <w:p w:rsidR="00BB5EB2" w:rsidRPr="0004363A" w:rsidRDefault="00BB5EB2" w:rsidP="00FE4949">
            <w:pPr>
              <w:rPr>
                <w:rFonts w:ascii="Arial" w:eastAsia="Times New Roman" w:hAnsi="Arial" w:cs="Arial"/>
                <w:b/>
                <w:szCs w:val="20"/>
                <w:lang w:eastAsia="en-AU"/>
              </w:rPr>
            </w:pPr>
          </w:p>
        </w:tc>
        <w:tc>
          <w:tcPr>
            <w:tcW w:w="2269" w:type="pct"/>
          </w:tcPr>
          <w:p w:rsidR="00BB5EB2" w:rsidRPr="0004363A" w:rsidRDefault="00BB5EB2" w:rsidP="008400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T</w:t>
            </w:r>
            <w:r w:rsidRPr="0004363A">
              <w:rPr>
                <w:rFonts w:ascii="Arial" w:eastAsia="Times New Roman" w:hAnsi="Arial" w:cs="Arial"/>
                <w:szCs w:val="20"/>
                <w:lang w:eastAsia="en-AU"/>
              </w:rPr>
              <w:t xml:space="preserve">he reconfiguration does not involve premises </w:t>
            </w:r>
            <w:r>
              <w:rPr>
                <w:rFonts w:ascii="Arial" w:eastAsia="Times New Roman" w:hAnsi="Arial" w:cs="Arial"/>
                <w:szCs w:val="20"/>
                <w:lang w:eastAsia="en-AU"/>
              </w:rPr>
              <w:t>affected by an overlay identified on the overlay maps contained in Schedule 2.</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2C79EE"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B5EB2" w:rsidRDefault="00BB5EB2" w:rsidP="00F649EC">
            <w:pPr>
              <w:rPr>
                <w:rStyle w:val="Strong"/>
              </w:rPr>
            </w:pPr>
            <w:r>
              <w:rPr>
                <w:rStyle w:val="Strong"/>
              </w:rPr>
              <w:t>Infrastructure</w:t>
            </w: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8</w:t>
            </w:r>
          </w:p>
        </w:tc>
        <w:tc>
          <w:tcPr>
            <w:tcW w:w="2269" w:type="pct"/>
          </w:tcPr>
          <w:p w:rsidR="00BB5EB2" w:rsidRPr="0004363A" w:rsidRDefault="00BB5EB2" w:rsidP="009209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E</w:t>
            </w:r>
            <w:r w:rsidRPr="0004363A">
              <w:rPr>
                <w:rFonts w:ascii="Arial" w:eastAsia="Times New Roman" w:hAnsi="Arial" w:cs="Arial"/>
                <w:szCs w:val="20"/>
                <w:lang w:eastAsia="en-AU"/>
              </w:rPr>
              <w:t xml:space="preserve">ach lot is connected to </w:t>
            </w:r>
            <w:r>
              <w:rPr>
                <w:rFonts w:ascii="Arial" w:eastAsia="Times New Roman" w:hAnsi="Arial" w:cs="Arial"/>
                <w:szCs w:val="20"/>
                <w:lang w:eastAsia="en-AU"/>
              </w:rPr>
              <w:t>Council’s</w:t>
            </w:r>
            <w:r w:rsidRPr="0004363A">
              <w:rPr>
                <w:rFonts w:ascii="Arial" w:eastAsia="Times New Roman" w:hAnsi="Arial" w:cs="Arial"/>
                <w:szCs w:val="20"/>
                <w:lang w:eastAsia="en-AU"/>
              </w:rPr>
              <w:t xml:space="preserve"> reticulated water supply system</w:t>
            </w:r>
            <w:r>
              <w:rPr>
                <w:rFonts w:ascii="Arial" w:eastAsia="Times New Roman" w:hAnsi="Arial" w:cs="Arial"/>
                <w:szCs w:val="20"/>
                <w:lang w:eastAsia="en-AU"/>
              </w:rPr>
              <w:t xml:space="preserve"> in accordance with the Design Guidelines set out in Section D6 of Planning scheme policy – FNQROC Regional Development Manual.</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9209AA">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9</w:t>
            </w:r>
          </w:p>
        </w:tc>
        <w:tc>
          <w:tcPr>
            <w:tcW w:w="2269" w:type="pct"/>
          </w:tcPr>
          <w:p w:rsidR="00BB5EB2" w:rsidRPr="0004363A" w:rsidRDefault="00BB5EB2" w:rsidP="008400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Each lot is connected to Council’s s</w:t>
            </w:r>
            <w:r w:rsidRPr="0004363A">
              <w:rPr>
                <w:rFonts w:ascii="Arial" w:eastAsia="Times New Roman" w:hAnsi="Arial" w:cs="Arial"/>
                <w:szCs w:val="20"/>
                <w:lang w:eastAsia="en-AU"/>
              </w:rPr>
              <w:t xml:space="preserve">ewerage </w:t>
            </w:r>
            <w:r>
              <w:rPr>
                <w:rFonts w:ascii="Arial" w:eastAsia="Times New Roman" w:hAnsi="Arial" w:cs="Arial"/>
                <w:szCs w:val="20"/>
                <w:lang w:eastAsia="en-AU"/>
              </w:rPr>
              <w:t>system and the extension of or connection to the sewerage system is designed and constructed in accordance with the Design Guidelines set out in Section D7 of Planning scheme policy – FNQROC Regional Development Manual.</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CO1</w:t>
            </w:r>
            <w:r>
              <w:rPr>
                <w:rFonts w:ascii="Arial" w:eastAsia="Times New Roman" w:hAnsi="Arial" w:cs="Arial"/>
                <w:b/>
                <w:szCs w:val="20"/>
                <w:lang w:eastAsia="en-AU"/>
              </w:rPr>
              <w:t>0</w:t>
            </w:r>
          </w:p>
        </w:tc>
        <w:tc>
          <w:tcPr>
            <w:tcW w:w="2269" w:type="pct"/>
          </w:tcPr>
          <w:p w:rsidR="00BB5EB2" w:rsidRPr="0004363A" w:rsidRDefault="00BB5EB2" w:rsidP="008400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Each lot is connected to an electricity supply network</w:t>
            </w:r>
            <w:r>
              <w:rPr>
                <w:rFonts w:ascii="Arial" w:eastAsia="Times New Roman" w:hAnsi="Arial" w:cs="Arial"/>
                <w:szCs w:val="20"/>
                <w:lang w:eastAsia="en-AU"/>
              </w:rPr>
              <w:t>.</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84004B">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CO1</w:t>
            </w:r>
            <w:r>
              <w:rPr>
                <w:rFonts w:ascii="Arial" w:eastAsia="Times New Roman" w:hAnsi="Arial" w:cs="Arial"/>
                <w:b/>
                <w:szCs w:val="20"/>
                <w:lang w:eastAsia="en-AU"/>
              </w:rPr>
              <w:t>1</w:t>
            </w:r>
          </w:p>
        </w:tc>
        <w:tc>
          <w:tcPr>
            <w:tcW w:w="2269" w:type="pct"/>
          </w:tcPr>
          <w:p w:rsidR="00BB5EB2" w:rsidRPr="0004363A" w:rsidRDefault="00BB5EB2" w:rsidP="008400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Each lot is connected to a telecommunications</w:t>
            </w:r>
            <w:r>
              <w:rPr>
                <w:rFonts w:ascii="Arial" w:eastAsia="Times New Roman" w:hAnsi="Arial" w:cs="Arial"/>
                <w:szCs w:val="20"/>
                <w:lang w:eastAsia="en-AU"/>
              </w:rPr>
              <w:t xml:space="preserve"> network.</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84004B">
            <w:pPr>
              <w:rPr>
                <w:rFonts w:ascii="Arial" w:eastAsia="Times New Roman" w:hAnsi="Arial" w:cs="Arial"/>
                <w:szCs w:val="20"/>
              </w:rPr>
            </w:pP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CO1</w:t>
            </w:r>
            <w:r>
              <w:rPr>
                <w:rFonts w:ascii="Arial" w:eastAsia="Times New Roman" w:hAnsi="Arial" w:cs="Arial"/>
                <w:b/>
                <w:szCs w:val="20"/>
                <w:lang w:eastAsia="en-AU"/>
              </w:rPr>
              <w:t>2</w:t>
            </w:r>
          </w:p>
        </w:tc>
        <w:tc>
          <w:tcPr>
            <w:tcW w:w="2269" w:type="pct"/>
          </w:tcPr>
          <w:p w:rsidR="00BB5EB2" w:rsidRPr="0004363A" w:rsidRDefault="00BB5EB2" w:rsidP="00FE49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 xml:space="preserve">Infrastructure (water supply, sewerage, roads, stormwater quality and quantity, recreational parks, land only for community purposes) is designed and constructed to service the lots in accordance </w:t>
            </w:r>
            <w:r>
              <w:rPr>
                <w:rFonts w:ascii="Arial" w:eastAsia="Times New Roman" w:hAnsi="Arial" w:cs="Arial"/>
                <w:szCs w:val="20"/>
                <w:lang w:eastAsia="en-AU"/>
              </w:rPr>
              <w:t xml:space="preserve">with Planning scheme policy – FNQROC Regional Development Manual. </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FE4949">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Pr>
                <w:rFonts w:ascii="Arial" w:eastAsia="Times New Roman" w:hAnsi="Arial" w:cs="Arial"/>
                <w:b/>
                <w:szCs w:val="20"/>
                <w:lang w:eastAsia="en-AU"/>
              </w:rPr>
              <w:t>CO13</w:t>
            </w:r>
          </w:p>
        </w:tc>
        <w:tc>
          <w:tcPr>
            <w:tcW w:w="2269" w:type="pct"/>
          </w:tcPr>
          <w:p w:rsidR="00BB5EB2" w:rsidRPr="0004363A" w:rsidRDefault="00BB5EB2" w:rsidP="008400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An infrastructure charge or contribution is paid for the provision of trunk infrastructure (water supply, sewerage, roads, stormwater, recreational parks, land only for community purposes) for the demand generated by the additional lot in accordance with the requirements in Part 4. </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2C79EE" w:rsidTr="00BB5EB2">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B5EB2" w:rsidRDefault="00BB5EB2" w:rsidP="00F649EC">
            <w:pPr>
              <w:rPr>
                <w:rStyle w:val="Strong"/>
              </w:rPr>
            </w:pPr>
            <w:r>
              <w:rPr>
                <w:rStyle w:val="Strong"/>
              </w:rPr>
              <w:t>Access</w:t>
            </w: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CO1</w:t>
            </w:r>
            <w:r>
              <w:rPr>
                <w:rFonts w:ascii="Arial" w:eastAsia="Times New Roman" w:hAnsi="Arial" w:cs="Arial"/>
                <w:b/>
                <w:szCs w:val="20"/>
                <w:lang w:eastAsia="en-AU"/>
              </w:rPr>
              <w:t>4</w:t>
            </w:r>
          </w:p>
        </w:tc>
        <w:tc>
          <w:tcPr>
            <w:tcW w:w="2269" w:type="pct"/>
          </w:tcPr>
          <w:p w:rsidR="00BB5EB2" w:rsidRPr="0004363A" w:rsidRDefault="00BB5EB2" w:rsidP="00FE49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Each lot has lawful, safe and practical access to the existing road network via a direct road frontage.</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FE4949">
            <w:pPr>
              <w:rPr>
                <w:rFonts w:ascii="Arial" w:eastAsia="Times New Roman" w:hAnsi="Arial" w:cs="Arial"/>
                <w:szCs w:val="20"/>
              </w:rPr>
            </w:pP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lastRenderedPageBreak/>
              <w:t>CO1</w:t>
            </w:r>
            <w:r>
              <w:rPr>
                <w:rFonts w:ascii="Arial" w:eastAsia="Times New Roman" w:hAnsi="Arial" w:cs="Arial"/>
                <w:b/>
                <w:szCs w:val="20"/>
                <w:lang w:eastAsia="en-AU"/>
              </w:rPr>
              <w:t>9</w:t>
            </w:r>
          </w:p>
        </w:tc>
        <w:tc>
          <w:tcPr>
            <w:tcW w:w="2269" w:type="pct"/>
          </w:tcPr>
          <w:p w:rsidR="00BB5EB2" w:rsidRPr="0084004B" w:rsidRDefault="00BB5EB2" w:rsidP="008400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Access to each lot is limited to one existing vehicular access crossover</w:t>
            </w:r>
            <w:r>
              <w:rPr>
                <w:rFonts w:cs="Arial"/>
                <w:color w:val="000000" w:themeColor="text1"/>
                <w:szCs w:val="20"/>
                <w:lang w:val="en-GB"/>
              </w:rPr>
              <w:t>;</w:t>
            </w:r>
          </w:p>
          <w:p w:rsidR="00BB5EB2" w:rsidRDefault="00BB5EB2" w:rsidP="0084004B">
            <w:pPr>
              <w:ind w:left="514" w:hanging="484"/>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Cs w:val="20"/>
                <w:lang w:val="en-GB" w:eastAsia="en-AU"/>
              </w:rPr>
            </w:pPr>
          </w:p>
          <w:p w:rsidR="00BB5EB2" w:rsidRDefault="00BB5EB2" w:rsidP="0084004B">
            <w:pPr>
              <w:ind w:left="514" w:hanging="484"/>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Cs w:val="20"/>
                <w:lang w:val="en-GB" w:eastAsia="en-AU"/>
              </w:rPr>
            </w:pPr>
            <w:r>
              <w:rPr>
                <w:rFonts w:cs="Arial"/>
                <w:color w:val="000000" w:themeColor="text1"/>
                <w:szCs w:val="20"/>
                <w:lang w:val="en-GB"/>
              </w:rPr>
              <w:t>or</w:t>
            </w:r>
          </w:p>
          <w:p w:rsidR="00BB5EB2" w:rsidRDefault="00BB5EB2" w:rsidP="0084004B">
            <w:pPr>
              <w:ind w:left="514" w:hanging="484"/>
              <w:cnfStyle w:val="000000000000" w:firstRow="0" w:lastRow="0" w:firstColumn="0" w:lastColumn="0" w:oddVBand="0" w:evenVBand="0" w:oddHBand="0" w:evenHBand="0" w:firstRowFirstColumn="0" w:firstRowLastColumn="0" w:lastRowFirstColumn="0" w:lastRowLastColumn="0"/>
              <w:rPr>
                <w:rFonts w:eastAsiaTheme="minorEastAsia" w:cs="Arial"/>
                <w:color w:val="000000" w:themeColor="text1"/>
                <w:szCs w:val="20"/>
                <w:lang w:val="en-GB" w:eastAsia="en-AU"/>
              </w:rPr>
            </w:pPr>
          </w:p>
          <w:p w:rsidR="00BB5EB2" w:rsidRPr="0004363A" w:rsidRDefault="00BB5EB2" w:rsidP="008400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Access to each lot is limited to one </w:t>
            </w:r>
            <w:r w:rsidRPr="0084004B">
              <w:rPr>
                <w:rFonts w:ascii="Arial" w:eastAsia="Times New Roman" w:hAnsi="Arial" w:cs="Arial"/>
                <w:szCs w:val="20"/>
              </w:rPr>
              <w:t xml:space="preserve">vehicular access crossover constructed in accordance with Design </w:t>
            </w:r>
            <w:r w:rsidRPr="00F31CB3">
              <w:rPr>
                <w:rFonts w:ascii="Arial" w:eastAsia="Times New Roman" w:hAnsi="Arial" w:cs="Arial"/>
                <w:szCs w:val="20"/>
              </w:rPr>
              <w:t>Guidelines</w:t>
            </w:r>
            <w:r w:rsidRPr="0084004B">
              <w:rPr>
                <w:rFonts w:ascii="Arial" w:eastAsia="Times New Roman" w:hAnsi="Arial" w:cs="Arial"/>
                <w:szCs w:val="20"/>
              </w:rPr>
              <w:t xml:space="preserve"> set out in D1 and D3 of Planning scheme policy – FNQROC Regional Development Manual.</w:t>
            </w:r>
          </w:p>
        </w:tc>
        <w:tc>
          <w:tcPr>
            <w:cnfStyle w:val="000010000000" w:firstRow="0" w:lastRow="0" w:firstColumn="0" w:lastColumn="0" w:oddVBand="1" w:evenVBand="0" w:oddHBand="0" w:evenHBand="0" w:firstRowFirstColumn="0" w:firstRowLastColumn="0" w:lastRowFirstColumn="0" w:lastRowLastColumn="0"/>
            <w:tcW w:w="2268" w:type="pct"/>
          </w:tcPr>
          <w:p w:rsidR="00BB5EB2" w:rsidRDefault="00BB5EB2" w:rsidP="0084004B">
            <w:pPr>
              <w:rPr>
                <w:rFonts w:ascii="Arial" w:eastAsia="Times New Roman" w:hAnsi="Arial" w:cs="Arial"/>
                <w:szCs w:val="20"/>
              </w:rPr>
            </w:pPr>
          </w:p>
        </w:tc>
      </w:tr>
      <w:tr w:rsidR="00BB5EB2" w:rsidRPr="002C79EE"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BB5EB2" w:rsidRDefault="00BB5EB2" w:rsidP="00F649EC">
            <w:pPr>
              <w:rPr>
                <w:rStyle w:val="Strong"/>
              </w:rPr>
            </w:pPr>
            <w:r>
              <w:rPr>
                <w:rStyle w:val="Strong"/>
              </w:rPr>
              <w:t>Stormwater</w:t>
            </w:r>
          </w:p>
        </w:tc>
      </w:tr>
      <w:tr w:rsidR="00BB5EB2" w:rsidRPr="005A77FA" w:rsidTr="00BB5EB2">
        <w:trPr>
          <w:trHeight w:val="722"/>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20</w:t>
            </w:r>
          </w:p>
        </w:tc>
        <w:tc>
          <w:tcPr>
            <w:tcW w:w="2269" w:type="pct"/>
          </w:tcPr>
          <w:p w:rsidR="00BB5EB2" w:rsidRPr="0004363A" w:rsidRDefault="00BB5EB2" w:rsidP="00FE49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 xml:space="preserve">Onsite erosion and the release of sediment-laden stormwater from the premises is minimised at all times including during construction and complies with </w:t>
            </w:r>
            <w:r w:rsidRPr="00EA01AC">
              <w:rPr>
                <w:rFonts w:ascii="Arial" w:eastAsia="Times New Roman" w:hAnsi="Arial" w:cs="Arial"/>
                <w:szCs w:val="20"/>
              </w:rPr>
              <w:t>Planning scheme policy – FNQROC Regional Development Manual.</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FE4949">
            <w:pPr>
              <w:rPr>
                <w:rFonts w:ascii="Arial" w:eastAsia="Times New Roman" w:hAnsi="Arial" w:cs="Arial"/>
                <w:szCs w:val="20"/>
              </w:rPr>
            </w:pPr>
          </w:p>
        </w:tc>
      </w:tr>
      <w:tr w:rsidR="00BB5EB2" w:rsidRPr="005A77FA" w:rsidTr="00BB5E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21</w:t>
            </w:r>
          </w:p>
        </w:tc>
        <w:tc>
          <w:tcPr>
            <w:tcW w:w="2269" w:type="pct"/>
          </w:tcPr>
          <w:p w:rsidR="00BB5EB2" w:rsidRPr="0004363A" w:rsidRDefault="00BB5EB2" w:rsidP="00FE49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Filling or excavation on the premises does not exceed a maximum of one metre vertical change in natural ground level at any point.</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FE4949">
            <w:pPr>
              <w:rPr>
                <w:rFonts w:ascii="Arial" w:eastAsia="Times New Roman" w:hAnsi="Arial" w:cs="Arial"/>
                <w:szCs w:val="20"/>
              </w:rPr>
            </w:pPr>
          </w:p>
        </w:tc>
      </w:tr>
      <w:tr w:rsidR="00BB5EB2" w:rsidRPr="005A77FA" w:rsidTr="00BB5EB2">
        <w:tc>
          <w:tcPr>
            <w:cnfStyle w:val="000010000000" w:firstRow="0" w:lastRow="0" w:firstColumn="0" w:lastColumn="0" w:oddVBand="1" w:evenVBand="0" w:oddHBand="0" w:evenHBand="0" w:firstRowFirstColumn="0" w:firstRowLastColumn="0" w:lastRowFirstColumn="0" w:lastRowLastColumn="0"/>
            <w:tcW w:w="463" w:type="pct"/>
          </w:tcPr>
          <w:p w:rsidR="00BB5EB2" w:rsidRPr="0004363A" w:rsidRDefault="00BB5EB2" w:rsidP="00FE4949">
            <w:pPr>
              <w:rPr>
                <w:rFonts w:ascii="Arial" w:eastAsia="Times New Roman" w:hAnsi="Arial" w:cs="Arial"/>
                <w:b/>
                <w:szCs w:val="20"/>
                <w:lang w:eastAsia="en-AU"/>
              </w:rPr>
            </w:pPr>
            <w:r w:rsidRPr="0004363A">
              <w:rPr>
                <w:rFonts w:ascii="Arial" w:eastAsia="Times New Roman" w:hAnsi="Arial" w:cs="Arial"/>
                <w:b/>
                <w:szCs w:val="20"/>
                <w:lang w:eastAsia="en-AU"/>
              </w:rPr>
              <w:t>CO</w:t>
            </w:r>
            <w:r>
              <w:rPr>
                <w:rFonts w:ascii="Arial" w:eastAsia="Times New Roman" w:hAnsi="Arial" w:cs="Arial"/>
                <w:b/>
                <w:szCs w:val="20"/>
                <w:lang w:eastAsia="en-AU"/>
              </w:rPr>
              <w:t>22</w:t>
            </w:r>
          </w:p>
        </w:tc>
        <w:tc>
          <w:tcPr>
            <w:tcW w:w="2269" w:type="pct"/>
          </w:tcPr>
          <w:p w:rsidR="00BB5EB2" w:rsidRPr="0004363A" w:rsidRDefault="00BB5EB2" w:rsidP="008400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04363A">
              <w:rPr>
                <w:rFonts w:ascii="Arial" w:eastAsia="Times New Roman" w:hAnsi="Arial" w:cs="Arial"/>
                <w:szCs w:val="20"/>
                <w:lang w:eastAsia="en-AU"/>
              </w:rPr>
              <w:t xml:space="preserve">Filling or excavation does not cause ponding on the premises or adjoining land in accordance with </w:t>
            </w:r>
            <w:r w:rsidRPr="00EA01AC">
              <w:rPr>
                <w:rFonts w:ascii="Arial" w:eastAsia="Times New Roman" w:hAnsi="Arial" w:cs="Arial"/>
                <w:szCs w:val="20"/>
              </w:rPr>
              <w:t>Planning scheme policy – FNQROC Regional Development Manual.</w:t>
            </w:r>
          </w:p>
        </w:tc>
        <w:tc>
          <w:tcPr>
            <w:cnfStyle w:val="000010000000" w:firstRow="0" w:lastRow="0" w:firstColumn="0" w:lastColumn="0" w:oddVBand="1" w:evenVBand="0" w:oddHBand="0" w:evenHBand="0" w:firstRowFirstColumn="0" w:firstRowLastColumn="0" w:lastRowFirstColumn="0" w:lastRowLastColumn="0"/>
            <w:tcW w:w="2268" w:type="pct"/>
          </w:tcPr>
          <w:p w:rsidR="00BB5EB2" w:rsidRPr="0004363A" w:rsidRDefault="00BB5EB2" w:rsidP="0084004B">
            <w:pPr>
              <w:rPr>
                <w:rFonts w:ascii="Arial" w:eastAsia="Times New Roman" w:hAnsi="Arial" w:cs="Arial"/>
                <w:szCs w:val="20"/>
              </w:rPr>
            </w:pPr>
          </w:p>
        </w:tc>
      </w:tr>
    </w:tbl>
    <w:p w:rsidR="00191B92" w:rsidRDefault="00191B92">
      <w:pPr>
        <w:rPr>
          <w:b/>
          <w:bCs/>
          <w:color w:val="000000" w:themeColor="text1"/>
          <w:sz w:val="18"/>
          <w:szCs w:val="18"/>
        </w:rPr>
      </w:pPr>
      <w:r>
        <w:br w:type="page"/>
      </w:r>
    </w:p>
    <w:p w:rsidR="00366B03" w:rsidRDefault="00366B03" w:rsidP="00366B03">
      <w:pPr>
        <w:pStyle w:val="Caption"/>
      </w:pPr>
      <w:r>
        <w:lastRenderedPageBreak/>
        <w:t xml:space="preserve">Table </w:t>
      </w:r>
      <w:r w:rsidR="00592873">
        <w:fldChar w:fldCharType="begin"/>
      </w:r>
      <w:r w:rsidR="00592873">
        <w:instrText xml:space="preserve"> REF _Ref364683400 \r \h </w:instrText>
      </w:r>
      <w:r w:rsidR="00592873">
        <w:fldChar w:fldCharType="separate"/>
      </w:r>
      <w:r w:rsidR="001746EE">
        <w:t>9.2.3.3</w:t>
      </w:r>
      <w:r w:rsidR="00592873">
        <w:fldChar w:fldCharType="end"/>
      </w:r>
      <w:r>
        <w:t>.b – Lot reconfiguration outcomes</w:t>
      </w:r>
    </w:p>
    <w:tbl>
      <w:tblPr>
        <w:tblW w:w="11401" w:type="dxa"/>
        <w:tblInd w:w="2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85" w:type="dxa"/>
          <w:left w:w="85" w:type="dxa"/>
          <w:bottom w:w="85" w:type="dxa"/>
          <w:right w:w="85" w:type="dxa"/>
        </w:tblCellMar>
        <w:tblLook w:val="04A0" w:firstRow="1" w:lastRow="0" w:firstColumn="1" w:lastColumn="0" w:noHBand="0" w:noVBand="1"/>
      </w:tblPr>
      <w:tblGrid>
        <w:gridCol w:w="2268"/>
        <w:gridCol w:w="1479"/>
        <w:gridCol w:w="1701"/>
        <w:gridCol w:w="5953"/>
      </w:tblGrid>
      <w:tr w:rsidR="002C1417" w:rsidRPr="00191B92" w:rsidTr="00BB5EB2">
        <w:tc>
          <w:tcPr>
            <w:tcW w:w="2268" w:type="dxa"/>
            <w:shd w:val="clear" w:color="auto" w:fill="A6A6A6" w:themeFill="background1" w:themeFillShade="A6"/>
          </w:tcPr>
          <w:p w:rsidR="002C1417" w:rsidRPr="008A2656" w:rsidRDefault="002C1417" w:rsidP="0084004B">
            <w:pPr>
              <w:spacing w:after="0" w:line="240" w:lineRule="auto"/>
              <w:rPr>
                <w:rStyle w:val="Strong"/>
                <w:color w:val="FFFFFF" w:themeColor="background1"/>
              </w:rPr>
            </w:pPr>
            <w:r w:rsidRPr="008A2656">
              <w:rPr>
                <w:rStyle w:val="Strong"/>
                <w:color w:val="FFFFFF" w:themeColor="background1"/>
              </w:rPr>
              <w:t>Zone</w:t>
            </w:r>
          </w:p>
        </w:tc>
        <w:tc>
          <w:tcPr>
            <w:tcW w:w="1479" w:type="dxa"/>
            <w:tcBorders>
              <w:right w:val="single" w:sz="4" w:space="0" w:color="A6A6A6" w:themeColor="background1" w:themeShade="A6"/>
            </w:tcBorders>
            <w:shd w:val="clear" w:color="auto" w:fill="A6A6A6" w:themeFill="background1" w:themeFillShade="A6"/>
          </w:tcPr>
          <w:p w:rsidR="002C1417" w:rsidRPr="008A2656" w:rsidRDefault="002C1417" w:rsidP="0084004B">
            <w:pPr>
              <w:spacing w:after="0" w:line="240" w:lineRule="auto"/>
              <w:rPr>
                <w:rStyle w:val="Strong"/>
                <w:color w:val="FFFFFF" w:themeColor="background1"/>
              </w:rPr>
            </w:pPr>
            <w:r w:rsidRPr="008A2656">
              <w:rPr>
                <w:rStyle w:val="Strong"/>
                <w:color w:val="FFFFFF" w:themeColor="background1"/>
              </w:rPr>
              <w:t>Minimum lot size</w:t>
            </w:r>
          </w:p>
        </w:tc>
        <w:tc>
          <w:tcPr>
            <w:tcW w:w="1701" w:type="dxa"/>
            <w:tcBorders>
              <w:left w:val="single" w:sz="4" w:space="0" w:color="A6A6A6" w:themeColor="background1" w:themeShade="A6"/>
              <w:right w:val="single" w:sz="4" w:space="0" w:color="A6A6A6" w:themeColor="background1" w:themeShade="A6"/>
            </w:tcBorders>
            <w:shd w:val="clear" w:color="auto" w:fill="A6A6A6" w:themeFill="background1" w:themeFillShade="A6"/>
          </w:tcPr>
          <w:p w:rsidR="002C1417" w:rsidRPr="008A2656" w:rsidRDefault="002C1417" w:rsidP="0084004B">
            <w:pPr>
              <w:spacing w:after="0" w:line="240" w:lineRule="auto"/>
              <w:rPr>
                <w:rStyle w:val="Strong"/>
                <w:color w:val="FFFFFF" w:themeColor="background1"/>
              </w:rPr>
            </w:pPr>
            <w:r w:rsidRPr="008A2656">
              <w:rPr>
                <w:rStyle w:val="Strong"/>
                <w:color w:val="FFFFFF" w:themeColor="background1"/>
              </w:rPr>
              <w:t xml:space="preserve">Minimum </w:t>
            </w:r>
            <w:r w:rsidR="00D74A42" w:rsidRPr="008A2656">
              <w:rPr>
                <w:rStyle w:val="Strong"/>
                <w:color w:val="FFFFFF" w:themeColor="background1"/>
              </w:rPr>
              <w:t>width and dimension</w:t>
            </w:r>
            <w:r w:rsidR="00D74A42" w:rsidRPr="008A2656">
              <w:rPr>
                <w:rStyle w:val="FootnoteReference"/>
                <w:b/>
                <w:bCs/>
                <w:color w:val="FFFFFF" w:themeColor="background1"/>
              </w:rPr>
              <w:footnoteReference w:id="1"/>
            </w:r>
          </w:p>
        </w:tc>
        <w:tc>
          <w:tcPr>
            <w:tcW w:w="5953" w:type="dxa"/>
            <w:tcBorders>
              <w:left w:val="single" w:sz="4" w:space="0" w:color="A6A6A6" w:themeColor="background1" w:themeShade="A6"/>
            </w:tcBorders>
            <w:shd w:val="clear" w:color="auto" w:fill="A6A6A6" w:themeFill="background1" w:themeFillShade="A6"/>
          </w:tcPr>
          <w:p w:rsidR="002C1417" w:rsidRPr="008A2656" w:rsidRDefault="00685A33" w:rsidP="0084004B">
            <w:pPr>
              <w:spacing w:after="0" w:line="240" w:lineRule="auto"/>
              <w:rPr>
                <w:rStyle w:val="Strong"/>
                <w:color w:val="FFFFFF" w:themeColor="background1"/>
              </w:rPr>
            </w:pPr>
            <w:r w:rsidRPr="008A2656">
              <w:rPr>
                <w:rStyle w:val="Strong"/>
                <w:color w:val="FFFFFF" w:themeColor="background1"/>
              </w:rPr>
              <w:t>Setbacks</w:t>
            </w:r>
          </w:p>
        </w:tc>
      </w:tr>
      <w:tr w:rsidR="0050348E" w:rsidRPr="00286C8A" w:rsidTr="00BB5EB2">
        <w:tc>
          <w:tcPr>
            <w:tcW w:w="2268"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High impact industry</w:t>
            </w:r>
          </w:p>
        </w:tc>
        <w:tc>
          <w:tcPr>
            <w:tcW w:w="1479"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2000m</w:t>
            </w:r>
            <w:r w:rsidRPr="00C600AB">
              <w:rPr>
                <w:rFonts w:cs="Arial"/>
                <w:spacing w:val="-5"/>
                <w:szCs w:val="20"/>
                <w:vertAlign w:val="superscript"/>
                <w:lang w:val="en-GB" w:eastAsia="en-US"/>
              </w:rPr>
              <w:t>2</w:t>
            </w:r>
          </w:p>
        </w:tc>
        <w:tc>
          <w:tcPr>
            <w:tcW w:w="1701"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40</w:t>
            </w:r>
            <w:r w:rsidR="00051820">
              <w:rPr>
                <w:rFonts w:cs="Arial"/>
                <w:spacing w:val="-5"/>
                <w:szCs w:val="20"/>
                <w:lang w:val="en-GB" w:eastAsia="en-US"/>
              </w:rPr>
              <w:t xml:space="preserve"> metres</w:t>
            </w:r>
          </w:p>
        </w:tc>
        <w:tc>
          <w:tcPr>
            <w:tcW w:w="5953" w:type="dxa"/>
          </w:tcPr>
          <w:p w:rsidR="00DE0A1B" w:rsidRDefault="00051820" w:rsidP="0084004B">
            <w:pPr>
              <w:spacing w:after="0" w:line="240" w:lineRule="auto"/>
              <w:rPr>
                <w:rFonts w:eastAsia="Calibri" w:cs="Arial"/>
                <w:szCs w:val="20"/>
              </w:rPr>
            </w:pPr>
            <w:r>
              <w:rPr>
                <w:rFonts w:eastAsia="Calibri" w:cs="Arial"/>
                <w:szCs w:val="20"/>
              </w:rPr>
              <w:t xml:space="preserve">0 </w:t>
            </w:r>
            <w:r w:rsidR="00DE0A1B">
              <w:rPr>
                <w:rFonts w:eastAsia="Calibri" w:cs="Arial"/>
                <w:szCs w:val="20"/>
              </w:rPr>
              <w:t xml:space="preserve">metres from the side or rear </w:t>
            </w:r>
            <w:r w:rsidR="00A04B3E" w:rsidRPr="00BB2375">
              <w:rPr>
                <w:rFonts w:eastAsia="Calibri" w:cs="Arial"/>
                <w:szCs w:val="20"/>
              </w:rPr>
              <w:t xml:space="preserve">boundary; </w:t>
            </w:r>
          </w:p>
          <w:p w:rsidR="00A04B3E" w:rsidRPr="00BB2375" w:rsidRDefault="00A04B3E" w:rsidP="0084004B">
            <w:pPr>
              <w:spacing w:after="0" w:line="240" w:lineRule="auto"/>
              <w:rPr>
                <w:rFonts w:eastAsia="Calibri" w:cs="Arial"/>
                <w:szCs w:val="20"/>
              </w:rPr>
            </w:pPr>
            <w:r w:rsidRPr="00BB2375">
              <w:rPr>
                <w:rFonts w:eastAsia="Calibri" w:cs="Arial"/>
                <w:szCs w:val="20"/>
              </w:rPr>
              <w:t xml:space="preserve">or </w:t>
            </w:r>
          </w:p>
          <w:p w:rsidR="00366B03" w:rsidRPr="0084004B" w:rsidRDefault="00A04B3E" w:rsidP="0084004B">
            <w:pPr>
              <w:spacing w:after="0" w:line="240" w:lineRule="auto"/>
              <w:rPr>
                <w:rFonts w:eastAsia="Calibri" w:cs="Arial"/>
                <w:szCs w:val="20"/>
              </w:rPr>
            </w:pPr>
            <w:r>
              <w:rPr>
                <w:rFonts w:eastAsia="Calibri" w:cs="Arial"/>
                <w:szCs w:val="20"/>
              </w:rPr>
              <w:t>not less than 3</w:t>
            </w:r>
            <w:r w:rsidR="00DE0A1B">
              <w:rPr>
                <w:rFonts w:eastAsia="Calibri" w:cs="Arial"/>
                <w:szCs w:val="20"/>
              </w:rPr>
              <w:t xml:space="preserve"> metres from the side or rear boundary. </w:t>
            </w:r>
          </w:p>
        </w:tc>
      </w:tr>
      <w:tr w:rsidR="0050348E" w:rsidRPr="00286C8A" w:rsidTr="00BB5EB2">
        <w:trPr>
          <w:trHeight w:val="227"/>
        </w:trPr>
        <w:tc>
          <w:tcPr>
            <w:tcW w:w="2268"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Low density residential</w:t>
            </w:r>
          </w:p>
        </w:tc>
        <w:tc>
          <w:tcPr>
            <w:tcW w:w="1479"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600m</w:t>
            </w:r>
            <w:r w:rsidRPr="00C600AB">
              <w:rPr>
                <w:rFonts w:cs="Arial"/>
                <w:spacing w:val="-5"/>
                <w:szCs w:val="20"/>
                <w:vertAlign w:val="superscript"/>
                <w:lang w:val="en-GB" w:eastAsia="en-US"/>
              </w:rPr>
              <w:t>2</w:t>
            </w:r>
          </w:p>
        </w:tc>
        <w:tc>
          <w:tcPr>
            <w:tcW w:w="1701"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15</w:t>
            </w:r>
            <w:r w:rsidR="00051820">
              <w:rPr>
                <w:rFonts w:cs="Arial"/>
                <w:spacing w:val="-5"/>
                <w:szCs w:val="20"/>
                <w:lang w:val="en-GB" w:eastAsia="en-US"/>
              </w:rPr>
              <w:t xml:space="preserve"> metres</w:t>
            </w:r>
          </w:p>
        </w:tc>
        <w:tc>
          <w:tcPr>
            <w:tcW w:w="5953" w:type="dxa"/>
          </w:tcPr>
          <w:p w:rsidR="00366B03" w:rsidRPr="00C600AB" w:rsidRDefault="00191B92" w:rsidP="0084004B">
            <w:pPr>
              <w:spacing w:after="0" w:line="240" w:lineRule="auto"/>
              <w:rPr>
                <w:rFonts w:cs="Arial"/>
                <w:spacing w:val="-5"/>
                <w:szCs w:val="20"/>
                <w:lang w:val="en-GB" w:eastAsia="en-US"/>
              </w:rPr>
            </w:pPr>
            <w:r>
              <w:rPr>
                <w:rFonts w:cs="Arial"/>
                <w:spacing w:val="-5"/>
                <w:szCs w:val="20"/>
                <w:lang w:val="en-GB" w:eastAsia="en-US"/>
              </w:rPr>
              <w:t xml:space="preserve">In accordance with the setback requirements of the </w:t>
            </w:r>
            <w:r w:rsidRPr="00DB0C2A">
              <w:rPr>
                <w:rFonts w:cs="Arial"/>
                <w:i/>
                <w:spacing w:val="-5"/>
                <w:szCs w:val="20"/>
                <w:lang w:val="en-GB" w:eastAsia="en-US"/>
              </w:rPr>
              <w:t>Queensland Development Code</w:t>
            </w:r>
          </w:p>
        </w:tc>
      </w:tr>
      <w:tr w:rsidR="0050348E" w:rsidRPr="00286C8A" w:rsidTr="00BB5EB2">
        <w:tc>
          <w:tcPr>
            <w:tcW w:w="2268"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Low impact industry</w:t>
            </w:r>
          </w:p>
        </w:tc>
        <w:tc>
          <w:tcPr>
            <w:tcW w:w="1479"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800m</w:t>
            </w:r>
            <w:r w:rsidRPr="00C600AB">
              <w:rPr>
                <w:rFonts w:cs="Arial"/>
                <w:spacing w:val="-5"/>
                <w:szCs w:val="20"/>
                <w:vertAlign w:val="superscript"/>
                <w:lang w:val="en-GB" w:eastAsia="en-US"/>
              </w:rPr>
              <w:t>2</w:t>
            </w:r>
          </w:p>
        </w:tc>
        <w:tc>
          <w:tcPr>
            <w:tcW w:w="1701"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20</w:t>
            </w:r>
            <w:r w:rsidR="00051820">
              <w:rPr>
                <w:rFonts w:cs="Arial"/>
                <w:spacing w:val="-5"/>
                <w:szCs w:val="20"/>
                <w:lang w:val="en-GB" w:eastAsia="en-US"/>
              </w:rPr>
              <w:t xml:space="preserve"> metres</w:t>
            </w:r>
          </w:p>
        </w:tc>
        <w:tc>
          <w:tcPr>
            <w:tcW w:w="5953" w:type="dxa"/>
          </w:tcPr>
          <w:p w:rsidR="00DE0A1B" w:rsidRDefault="00051820" w:rsidP="0084004B">
            <w:pPr>
              <w:spacing w:after="0" w:line="240" w:lineRule="auto"/>
              <w:rPr>
                <w:rFonts w:eastAsia="Calibri" w:cs="Arial"/>
                <w:szCs w:val="20"/>
              </w:rPr>
            </w:pPr>
            <w:r>
              <w:rPr>
                <w:rFonts w:eastAsia="Calibri" w:cs="Arial"/>
                <w:szCs w:val="20"/>
              </w:rPr>
              <w:t>0</w:t>
            </w:r>
            <w:r w:rsidRPr="00BB2375">
              <w:rPr>
                <w:rFonts w:eastAsia="Calibri" w:cs="Arial"/>
                <w:szCs w:val="20"/>
              </w:rPr>
              <w:t xml:space="preserve"> </w:t>
            </w:r>
            <w:r w:rsidR="00161949" w:rsidRPr="00BB2375">
              <w:rPr>
                <w:rFonts w:eastAsia="Calibri" w:cs="Arial"/>
                <w:szCs w:val="20"/>
              </w:rPr>
              <w:t xml:space="preserve">metres from the side or rear boundary; </w:t>
            </w:r>
          </w:p>
          <w:p w:rsidR="00161949" w:rsidRPr="00BB2375" w:rsidRDefault="00161949" w:rsidP="0084004B">
            <w:pPr>
              <w:spacing w:after="0" w:line="240" w:lineRule="auto"/>
              <w:rPr>
                <w:rFonts w:eastAsia="Calibri" w:cs="Arial"/>
                <w:szCs w:val="20"/>
              </w:rPr>
            </w:pPr>
            <w:r w:rsidRPr="00BB2375">
              <w:rPr>
                <w:rFonts w:eastAsia="Calibri" w:cs="Arial"/>
                <w:szCs w:val="20"/>
              </w:rPr>
              <w:t xml:space="preserve">or </w:t>
            </w:r>
          </w:p>
          <w:p w:rsidR="00366B03" w:rsidRPr="0084004B" w:rsidRDefault="00161949" w:rsidP="0084004B">
            <w:pPr>
              <w:spacing w:after="0" w:line="240" w:lineRule="auto"/>
              <w:rPr>
                <w:rFonts w:eastAsia="Calibri" w:cs="Arial"/>
                <w:szCs w:val="20"/>
              </w:rPr>
            </w:pPr>
            <w:r>
              <w:rPr>
                <w:rFonts w:eastAsia="Calibri" w:cs="Arial"/>
                <w:szCs w:val="20"/>
              </w:rPr>
              <w:t>not less than 3</w:t>
            </w:r>
            <w:r w:rsidRPr="00BB2375">
              <w:rPr>
                <w:rFonts w:eastAsia="Calibri" w:cs="Arial"/>
                <w:szCs w:val="20"/>
              </w:rPr>
              <w:t xml:space="preserve"> metres from the side or rear boundary. </w:t>
            </w:r>
          </w:p>
        </w:tc>
      </w:tr>
      <w:tr w:rsidR="00161949" w:rsidRPr="00286C8A" w:rsidTr="00BB5EB2">
        <w:tc>
          <w:tcPr>
            <w:tcW w:w="2268" w:type="dxa"/>
          </w:tcPr>
          <w:p w:rsidR="00161949" w:rsidRPr="00C600AB" w:rsidRDefault="00161949" w:rsidP="0084004B">
            <w:pPr>
              <w:spacing w:after="0" w:line="240" w:lineRule="auto"/>
              <w:rPr>
                <w:rFonts w:cs="Arial"/>
                <w:spacing w:val="-5"/>
                <w:szCs w:val="20"/>
                <w:lang w:val="en-GB" w:eastAsia="en-US"/>
              </w:rPr>
            </w:pPr>
            <w:r w:rsidRPr="00C600AB">
              <w:rPr>
                <w:rFonts w:cs="Arial"/>
                <w:spacing w:val="-5"/>
                <w:szCs w:val="20"/>
                <w:lang w:val="en-GB" w:eastAsia="en-US"/>
              </w:rPr>
              <w:t>Low-medium residential</w:t>
            </w:r>
          </w:p>
        </w:tc>
        <w:tc>
          <w:tcPr>
            <w:tcW w:w="1479" w:type="dxa"/>
          </w:tcPr>
          <w:p w:rsidR="00161949" w:rsidRPr="00FF27A4" w:rsidRDefault="00161949" w:rsidP="0084004B">
            <w:pPr>
              <w:spacing w:after="0" w:line="240" w:lineRule="auto"/>
              <w:rPr>
                <w:rFonts w:cs="Arial"/>
                <w:spacing w:val="-5"/>
                <w:szCs w:val="20"/>
                <w:lang w:val="en-GB" w:eastAsia="en-US"/>
              </w:rPr>
            </w:pPr>
            <w:r w:rsidRPr="00C600AB">
              <w:rPr>
                <w:rFonts w:cs="Arial"/>
                <w:spacing w:val="-5"/>
                <w:szCs w:val="20"/>
                <w:lang w:val="en-GB" w:eastAsia="en-US"/>
              </w:rPr>
              <w:t>450m</w:t>
            </w:r>
            <w:r w:rsidRPr="00C600AB">
              <w:rPr>
                <w:rFonts w:cs="Arial"/>
                <w:spacing w:val="-5"/>
                <w:szCs w:val="20"/>
                <w:vertAlign w:val="superscript"/>
                <w:lang w:val="en-GB" w:eastAsia="en-US"/>
              </w:rPr>
              <w:t>2</w:t>
            </w:r>
            <w:r w:rsidRPr="00C600AB">
              <w:rPr>
                <w:rFonts w:cs="Arial"/>
                <w:spacing w:val="-5"/>
                <w:szCs w:val="20"/>
                <w:lang w:val="en-GB" w:eastAsia="en-US"/>
              </w:rPr>
              <w:t xml:space="preserve"> </w:t>
            </w:r>
          </w:p>
        </w:tc>
        <w:tc>
          <w:tcPr>
            <w:tcW w:w="1701" w:type="dxa"/>
          </w:tcPr>
          <w:p w:rsidR="00161949" w:rsidRPr="00C600AB" w:rsidRDefault="00161949" w:rsidP="0084004B">
            <w:pPr>
              <w:spacing w:after="0" w:line="240" w:lineRule="auto"/>
              <w:rPr>
                <w:rFonts w:cs="Arial"/>
                <w:spacing w:val="-5"/>
                <w:szCs w:val="20"/>
                <w:lang w:val="en-GB" w:eastAsia="en-US"/>
              </w:rPr>
            </w:pPr>
            <w:r w:rsidRPr="00C600AB">
              <w:rPr>
                <w:rFonts w:cs="Arial"/>
                <w:spacing w:val="-5"/>
                <w:szCs w:val="20"/>
                <w:lang w:val="en-GB" w:eastAsia="en-US"/>
              </w:rPr>
              <w:t>12</w:t>
            </w:r>
            <w:r w:rsidR="00051820">
              <w:rPr>
                <w:rFonts w:cs="Arial"/>
                <w:spacing w:val="-5"/>
                <w:szCs w:val="20"/>
                <w:lang w:val="en-GB" w:eastAsia="en-US"/>
              </w:rPr>
              <w:t xml:space="preserve"> metres</w:t>
            </w:r>
          </w:p>
        </w:tc>
        <w:tc>
          <w:tcPr>
            <w:tcW w:w="5953" w:type="dxa"/>
          </w:tcPr>
          <w:p w:rsidR="00161949" w:rsidRPr="00C600AB" w:rsidRDefault="00191B92" w:rsidP="0084004B">
            <w:pPr>
              <w:spacing w:after="0" w:line="240" w:lineRule="auto"/>
              <w:rPr>
                <w:rFonts w:cs="Arial"/>
                <w:spacing w:val="-5"/>
                <w:szCs w:val="20"/>
                <w:lang w:val="en-GB" w:eastAsia="en-US"/>
              </w:rPr>
            </w:pPr>
            <w:r>
              <w:rPr>
                <w:rFonts w:cs="Arial"/>
                <w:spacing w:val="-5"/>
                <w:szCs w:val="20"/>
                <w:lang w:val="en-GB" w:eastAsia="en-US"/>
              </w:rPr>
              <w:t xml:space="preserve">In accordance with the setback requirements of the </w:t>
            </w:r>
            <w:r w:rsidRPr="00DB0C2A">
              <w:rPr>
                <w:rFonts w:cs="Arial"/>
                <w:i/>
                <w:spacing w:val="-5"/>
                <w:szCs w:val="20"/>
                <w:lang w:val="en-GB" w:eastAsia="en-US"/>
              </w:rPr>
              <w:t>Queensland Development Code</w:t>
            </w:r>
          </w:p>
        </w:tc>
      </w:tr>
      <w:tr w:rsidR="00161949" w:rsidRPr="00286C8A" w:rsidTr="00BB5EB2">
        <w:tc>
          <w:tcPr>
            <w:tcW w:w="2268" w:type="dxa"/>
          </w:tcPr>
          <w:p w:rsidR="00161949" w:rsidRPr="00C600AB" w:rsidRDefault="00161949" w:rsidP="0084004B">
            <w:pPr>
              <w:spacing w:after="0" w:line="240" w:lineRule="auto"/>
              <w:rPr>
                <w:rFonts w:cs="Arial"/>
                <w:spacing w:val="-5"/>
                <w:szCs w:val="20"/>
                <w:lang w:val="en-GB" w:eastAsia="en-US"/>
              </w:rPr>
            </w:pPr>
            <w:r w:rsidRPr="00C600AB">
              <w:rPr>
                <w:rFonts w:cs="Arial"/>
                <w:spacing w:val="-5"/>
                <w:szCs w:val="20"/>
                <w:lang w:val="en-GB" w:eastAsia="en-US"/>
              </w:rPr>
              <w:t>Medium density residential</w:t>
            </w:r>
          </w:p>
        </w:tc>
        <w:tc>
          <w:tcPr>
            <w:tcW w:w="1479" w:type="dxa"/>
          </w:tcPr>
          <w:p w:rsidR="00161949" w:rsidRPr="00C600AB" w:rsidRDefault="00161949" w:rsidP="0084004B">
            <w:pPr>
              <w:spacing w:after="0" w:line="240" w:lineRule="auto"/>
              <w:rPr>
                <w:rFonts w:cs="Arial"/>
                <w:spacing w:val="-5"/>
                <w:szCs w:val="20"/>
                <w:lang w:val="en-GB" w:eastAsia="en-US"/>
              </w:rPr>
            </w:pPr>
            <w:r w:rsidRPr="00C600AB">
              <w:rPr>
                <w:rFonts w:cs="Arial"/>
                <w:spacing w:val="-5"/>
                <w:szCs w:val="20"/>
                <w:lang w:val="en-GB" w:eastAsia="en-US"/>
              </w:rPr>
              <w:t>600m</w:t>
            </w:r>
            <w:r w:rsidRPr="00C600AB">
              <w:rPr>
                <w:rFonts w:cs="Arial"/>
                <w:spacing w:val="-5"/>
                <w:szCs w:val="20"/>
                <w:vertAlign w:val="superscript"/>
                <w:lang w:val="en-GB" w:eastAsia="en-US"/>
              </w:rPr>
              <w:t>2</w:t>
            </w:r>
          </w:p>
        </w:tc>
        <w:tc>
          <w:tcPr>
            <w:tcW w:w="1701" w:type="dxa"/>
          </w:tcPr>
          <w:p w:rsidR="00161949" w:rsidRPr="00C600AB" w:rsidRDefault="00161949" w:rsidP="0084004B">
            <w:pPr>
              <w:spacing w:after="0" w:line="240" w:lineRule="auto"/>
              <w:rPr>
                <w:rFonts w:cs="Arial"/>
                <w:spacing w:val="-5"/>
                <w:szCs w:val="20"/>
                <w:lang w:val="en-GB" w:eastAsia="en-US"/>
              </w:rPr>
            </w:pPr>
            <w:r w:rsidRPr="00C600AB">
              <w:rPr>
                <w:rFonts w:cs="Arial"/>
                <w:spacing w:val="-5"/>
                <w:szCs w:val="20"/>
                <w:lang w:val="en-GB" w:eastAsia="en-US"/>
              </w:rPr>
              <w:t>15</w:t>
            </w:r>
            <w:r w:rsidR="00051820">
              <w:rPr>
                <w:rFonts w:cs="Arial"/>
                <w:spacing w:val="-5"/>
                <w:szCs w:val="20"/>
                <w:lang w:val="en-GB" w:eastAsia="en-US"/>
              </w:rPr>
              <w:t xml:space="preserve"> metres</w:t>
            </w:r>
          </w:p>
        </w:tc>
        <w:tc>
          <w:tcPr>
            <w:tcW w:w="5953" w:type="dxa"/>
          </w:tcPr>
          <w:p w:rsidR="00161949" w:rsidRPr="00C600AB" w:rsidRDefault="00191B92" w:rsidP="0084004B">
            <w:pPr>
              <w:spacing w:after="0" w:line="240" w:lineRule="auto"/>
              <w:rPr>
                <w:rFonts w:cs="Arial"/>
                <w:spacing w:val="-5"/>
                <w:szCs w:val="20"/>
                <w:lang w:val="en-GB" w:eastAsia="en-US"/>
              </w:rPr>
            </w:pPr>
            <w:r>
              <w:rPr>
                <w:rFonts w:cs="Arial"/>
                <w:spacing w:val="-5"/>
                <w:szCs w:val="20"/>
                <w:lang w:val="en-GB" w:eastAsia="en-US"/>
              </w:rPr>
              <w:t xml:space="preserve">In accordance with the setback requirements of the </w:t>
            </w:r>
            <w:r w:rsidRPr="00DB0C2A">
              <w:rPr>
                <w:rFonts w:cs="Arial"/>
                <w:i/>
                <w:spacing w:val="-5"/>
                <w:szCs w:val="20"/>
                <w:lang w:val="en-GB" w:eastAsia="en-US"/>
              </w:rPr>
              <w:t>Queensland Development Code</w:t>
            </w:r>
          </w:p>
        </w:tc>
      </w:tr>
      <w:tr w:rsidR="0050348E" w:rsidRPr="00286C8A" w:rsidTr="00BB5EB2">
        <w:tc>
          <w:tcPr>
            <w:tcW w:w="2268"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Medium impact industry</w:t>
            </w:r>
          </w:p>
        </w:tc>
        <w:tc>
          <w:tcPr>
            <w:tcW w:w="1479"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1000m</w:t>
            </w:r>
            <w:r w:rsidRPr="00C600AB">
              <w:rPr>
                <w:rFonts w:cs="Arial"/>
                <w:spacing w:val="-5"/>
                <w:szCs w:val="20"/>
                <w:vertAlign w:val="superscript"/>
                <w:lang w:val="en-GB" w:eastAsia="en-US"/>
              </w:rPr>
              <w:t>2</w:t>
            </w:r>
          </w:p>
        </w:tc>
        <w:tc>
          <w:tcPr>
            <w:tcW w:w="1701"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20</w:t>
            </w:r>
            <w:r w:rsidR="00051820">
              <w:rPr>
                <w:rFonts w:cs="Arial"/>
                <w:spacing w:val="-5"/>
                <w:szCs w:val="20"/>
                <w:lang w:val="en-GB" w:eastAsia="en-US"/>
              </w:rPr>
              <w:t xml:space="preserve"> metres</w:t>
            </w:r>
          </w:p>
        </w:tc>
        <w:tc>
          <w:tcPr>
            <w:tcW w:w="5953" w:type="dxa"/>
          </w:tcPr>
          <w:p w:rsidR="00DE0A1B" w:rsidRDefault="00051820" w:rsidP="0084004B">
            <w:pPr>
              <w:spacing w:after="0" w:line="240" w:lineRule="auto"/>
              <w:rPr>
                <w:rFonts w:eastAsia="Calibri" w:cs="Arial"/>
                <w:szCs w:val="20"/>
              </w:rPr>
            </w:pPr>
            <w:r>
              <w:rPr>
                <w:rFonts w:eastAsia="Calibri" w:cs="Arial"/>
                <w:szCs w:val="20"/>
              </w:rPr>
              <w:t>0</w:t>
            </w:r>
            <w:r w:rsidR="00161949" w:rsidRPr="00BB2375">
              <w:rPr>
                <w:rFonts w:eastAsia="Calibri" w:cs="Arial"/>
                <w:szCs w:val="20"/>
              </w:rPr>
              <w:t xml:space="preserve"> metres from the side or rear boundary; </w:t>
            </w:r>
          </w:p>
          <w:p w:rsidR="00161949" w:rsidRPr="00BB2375" w:rsidRDefault="00161949" w:rsidP="0084004B">
            <w:pPr>
              <w:spacing w:after="0" w:line="240" w:lineRule="auto"/>
              <w:rPr>
                <w:rFonts w:eastAsia="Calibri" w:cs="Arial"/>
                <w:szCs w:val="20"/>
              </w:rPr>
            </w:pPr>
            <w:r w:rsidRPr="00BB2375">
              <w:rPr>
                <w:rFonts w:eastAsia="Calibri" w:cs="Arial"/>
                <w:szCs w:val="20"/>
              </w:rPr>
              <w:t xml:space="preserve">or </w:t>
            </w:r>
          </w:p>
          <w:p w:rsidR="00366B03" w:rsidRPr="0084004B" w:rsidRDefault="00161949" w:rsidP="0084004B">
            <w:pPr>
              <w:spacing w:after="0" w:line="240" w:lineRule="auto"/>
              <w:rPr>
                <w:rFonts w:eastAsia="Calibri" w:cs="Arial"/>
                <w:szCs w:val="20"/>
              </w:rPr>
            </w:pPr>
            <w:r>
              <w:rPr>
                <w:rFonts w:eastAsia="Calibri" w:cs="Arial"/>
                <w:szCs w:val="20"/>
              </w:rPr>
              <w:t>not less than 3</w:t>
            </w:r>
            <w:r w:rsidRPr="00BB2375">
              <w:rPr>
                <w:rFonts w:eastAsia="Calibri" w:cs="Arial"/>
                <w:szCs w:val="20"/>
              </w:rPr>
              <w:t xml:space="preserve"> metres from the side or rear boundary. </w:t>
            </w:r>
          </w:p>
        </w:tc>
      </w:tr>
      <w:tr w:rsidR="0050348E" w:rsidRPr="00286C8A" w:rsidTr="00BB5EB2">
        <w:tc>
          <w:tcPr>
            <w:tcW w:w="2268"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Tourist accommodation</w:t>
            </w:r>
          </w:p>
        </w:tc>
        <w:tc>
          <w:tcPr>
            <w:tcW w:w="1479"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800m</w:t>
            </w:r>
            <w:r w:rsidRPr="00C600AB">
              <w:rPr>
                <w:rFonts w:cs="Arial"/>
                <w:spacing w:val="-5"/>
                <w:szCs w:val="20"/>
                <w:vertAlign w:val="superscript"/>
                <w:lang w:val="en-GB" w:eastAsia="en-US"/>
              </w:rPr>
              <w:t>2</w:t>
            </w:r>
          </w:p>
        </w:tc>
        <w:tc>
          <w:tcPr>
            <w:tcW w:w="1701" w:type="dxa"/>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20</w:t>
            </w:r>
            <w:r w:rsidR="00051820">
              <w:rPr>
                <w:rFonts w:cs="Arial"/>
                <w:spacing w:val="-5"/>
                <w:szCs w:val="20"/>
                <w:lang w:val="en-GB" w:eastAsia="en-US"/>
              </w:rPr>
              <w:t xml:space="preserve"> metres</w:t>
            </w:r>
          </w:p>
        </w:tc>
        <w:tc>
          <w:tcPr>
            <w:tcW w:w="5953" w:type="dxa"/>
          </w:tcPr>
          <w:p w:rsidR="00366B03" w:rsidRPr="00C600AB" w:rsidRDefault="00161949" w:rsidP="0084004B">
            <w:pPr>
              <w:spacing w:after="0" w:line="240" w:lineRule="auto"/>
              <w:rPr>
                <w:rFonts w:cs="Arial"/>
                <w:spacing w:val="-5"/>
                <w:szCs w:val="20"/>
                <w:lang w:val="en-GB" w:eastAsia="en-US"/>
              </w:rPr>
            </w:pPr>
            <w:r>
              <w:rPr>
                <w:rFonts w:cs="Arial"/>
                <w:spacing w:val="-5"/>
                <w:szCs w:val="20"/>
                <w:lang w:val="en-GB" w:eastAsia="en-US"/>
              </w:rPr>
              <w:t xml:space="preserve">In accordance with the </w:t>
            </w:r>
            <w:r w:rsidR="00191B92">
              <w:rPr>
                <w:rFonts w:cs="Arial"/>
                <w:spacing w:val="-5"/>
                <w:szCs w:val="20"/>
                <w:lang w:val="en-GB" w:eastAsia="en-US"/>
              </w:rPr>
              <w:t xml:space="preserve">setback </w:t>
            </w:r>
            <w:r>
              <w:rPr>
                <w:rFonts w:cs="Arial"/>
                <w:spacing w:val="-5"/>
                <w:szCs w:val="20"/>
                <w:lang w:val="en-GB" w:eastAsia="en-US"/>
              </w:rPr>
              <w:t xml:space="preserve">requirements of the </w:t>
            </w:r>
            <w:r w:rsidRPr="0084004B">
              <w:rPr>
                <w:rFonts w:cs="Arial"/>
                <w:i/>
                <w:spacing w:val="-5"/>
                <w:szCs w:val="20"/>
                <w:lang w:val="en-GB" w:eastAsia="en-US"/>
              </w:rPr>
              <w:t>Queensland Development Code</w:t>
            </w:r>
          </w:p>
        </w:tc>
      </w:tr>
      <w:tr w:rsidR="0050348E" w:rsidRPr="00286C8A" w:rsidTr="00BB5EB2">
        <w:trPr>
          <w:trHeight w:val="679"/>
        </w:trPr>
        <w:tc>
          <w:tcPr>
            <w:tcW w:w="2268" w:type="dxa"/>
            <w:hideMark/>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Waterfront and marine industry</w:t>
            </w:r>
          </w:p>
        </w:tc>
        <w:tc>
          <w:tcPr>
            <w:tcW w:w="1479" w:type="dxa"/>
            <w:hideMark/>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1000m</w:t>
            </w:r>
            <w:r w:rsidRPr="00C600AB">
              <w:rPr>
                <w:rFonts w:cs="Arial"/>
                <w:spacing w:val="-5"/>
                <w:szCs w:val="20"/>
                <w:vertAlign w:val="superscript"/>
                <w:lang w:val="en-GB" w:eastAsia="en-US"/>
              </w:rPr>
              <w:t>2</w:t>
            </w:r>
          </w:p>
        </w:tc>
        <w:tc>
          <w:tcPr>
            <w:tcW w:w="1701" w:type="dxa"/>
            <w:hideMark/>
          </w:tcPr>
          <w:p w:rsidR="00366B03" w:rsidRPr="00C600AB" w:rsidRDefault="00366B03" w:rsidP="0084004B">
            <w:pPr>
              <w:spacing w:after="0" w:line="240" w:lineRule="auto"/>
              <w:rPr>
                <w:rFonts w:cs="Arial"/>
                <w:spacing w:val="-5"/>
                <w:szCs w:val="20"/>
                <w:lang w:val="en-GB" w:eastAsia="en-US"/>
              </w:rPr>
            </w:pPr>
            <w:r w:rsidRPr="00C600AB">
              <w:rPr>
                <w:rFonts w:cs="Arial"/>
                <w:spacing w:val="-5"/>
                <w:szCs w:val="20"/>
                <w:lang w:val="en-GB" w:eastAsia="en-US"/>
              </w:rPr>
              <w:t>20</w:t>
            </w:r>
            <w:r w:rsidR="00051820">
              <w:rPr>
                <w:rFonts w:cs="Arial"/>
                <w:spacing w:val="-5"/>
                <w:szCs w:val="20"/>
                <w:lang w:val="en-GB" w:eastAsia="en-US"/>
              </w:rPr>
              <w:t xml:space="preserve"> metres</w:t>
            </w:r>
          </w:p>
        </w:tc>
        <w:tc>
          <w:tcPr>
            <w:tcW w:w="5953" w:type="dxa"/>
          </w:tcPr>
          <w:p w:rsidR="00DE0A1B" w:rsidRDefault="00051820" w:rsidP="0084004B">
            <w:pPr>
              <w:spacing w:after="0" w:line="240" w:lineRule="auto"/>
              <w:rPr>
                <w:rFonts w:eastAsia="Calibri" w:cs="Arial"/>
                <w:szCs w:val="20"/>
              </w:rPr>
            </w:pPr>
            <w:r>
              <w:rPr>
                <w:rFonts w:eastAsia="Calibri" w:cs="Arial"/>
                <w:szCs w:val="20"/>
              </w:rPr>
              <w:t>0</w:t>
            </w:r>
            <w:r w:rsidR="00161949" w:rsidRPr="00BB2375">
              <w:rPr>
                <w:rFonts w:eastAsia="Calibri" w:cs="Arial"/>
                <w:szCs w:val="20"/>
              </w:rPr>
              <w:t xml:space="preserve"> metres from the side or rear boundary; </w:t>
            </w:r>
          </w:p>
          <w:p w:rsidR="00161949" w:rsidRPr="00BB2375" w:rsidRDefault="00161949" w:rsidP="0084004B">
            <w:pPr>
              <w:spacing w:after="0" w:line="240" w:lineRule="auto"/>
              <w:rPr>
                <w:rFonts w:eastAsia="Calibri" w:cs="Arial"/>
                <w:szCs w:val="20"/>
              </w:rPr>
            </w:pPr>
            <w:r w:rsidRPr="00BB2375">
              <w:rPr>
                <w:rFonts w:eastAsia="Calibri" w:cs="Arial"/>
                <w:szCs w:val="20"/>
              </w:rPr>
              <w:t xml:space="preserve">or </w:t>
            </w:r>
          </w:p>
          <w:p w:rsidR="00366B03" w:rsidRPr="0084004B" w:rsidRDefault="00161949" w:rsidP="0084004B">
            <w:pPr>
              <w:spacing w:after="0" w:line="240" w:lineRule="auto"/>
              <w:rPr>
                <w:rFonts w:eastAsia="Calibri" w:cs="Arial"/>
                <w:szCs w:val="20"/>
              </w:rPr>
            </w:pPr>
            <w:r>
              <w:rPr>
                <w:rFonts w:eastAsia="Calibri" w:cs="Arial"/>
                <w:szCs w:val="20"/>
              </w:rPr>
              <w:t>not less than 3</w:t>
            </w:r>
            <w:r w:rsidRPr="00BB2375">
              <w:rPr>
                <w:rFonts w:eastAsia="Calibri" w:cs="Arial"/>
                <w:szCs w:val="20"/>
              </w:rPr>
              <w:t xml:space="preserve"> metres from the side or rear boundary. </w:t>
            </w:r>
          </w:p>
        </w:tc>
      </w:tr>
    </w:tbl>
    <w:p w:rsidR="00334793" w:rsidRDefault="00334793">
      <w:pPr>
        <w:rPr>
          <w:rFonts w:asciiTheme="majorHAnsi" w:eastAsiaTheme="majorEastAsia" w:hAnsiTheme="majorHAnsi" w:cstheme="majorBidi"/>
          <w:color w:val="000000" w:themeColor="text1"/>
          <w:sz w:val="28"/>
          <w:szCs w:val="26"/>
        </w:rPr>
      </w:pPr>
    </w:p>
    <w:sectPr w:rsidR="00334793" w:rsidSect="004F4DCA">
      <w:headerReference w:type="even" r:id="rId12"/>
      <w:headerReference w:type="default" r:id="rId13"/>
      <w:footerReference w:type="even" r:id="rId14"/>
      <w:footerReference w:type="default" r:id="rId15"/>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09" w:rsidRDefault="00E94809">
      <w:pPr>
        <w:spacing w:after="0" w:line="240" w:lineRule="auto"/>
      </w:pPr>
      <w:r>
        <w:separator/>
      </w:r>
    </w:p>
  </w:endnote>
  <w:endnote w:type="continuationSeparator" w:id="0">
    <w:p w:rsidR="00E94809" w:rsidRDefault="00E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4F4DCA">
              <w:rPr>
                <w:noProof/>
                <w:color w:val="0064A7"/>
                <w:sz w:val="16"/>
                <w:szCs w:val="16"/>
              </w:rPr>
              <w:t>2</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4F4DCA">
              <w:rPr>
                <w:noProof/>
                <w:color w:val="0064A7"/>
                <w:sz w:val="16"/>
                <w:szCs w:val="16"/>
              </w:rPr>
              <w:t>4</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8D38BB">
              <w:rPr>
                <w:color w:val="0064A7"/>
                <w:sz w:val="16"/>
                <w:szCs w:val="16"/>
              </w:rPr>
              <w:t>9.2.3 Reconfiguring a lot (subdividing one lot into two lots) and associated operational work code</w:t>
            </w:r>
            <w:r>
              <w:rPr>
                <w:color w:val="0064A7"/>
                <w:sz w:val="16"/>
                <w:szCs w:val="16"/>
              </w:rPr>
              <w:t xml:space="preserve">                   </w:t>
            </w:r>
            <w:r w:rsidR="00293097">
              <w:rPr>
                <w:color w:val="0064A7"/>
                <w:sz w:val="16"/>
                <w:szCs w:val="16"/>
              </w:rPr>
              <w:t xml:space="preserve">      </w:t>
            </w:r>
            <w:r>
              <w:rPr>
                <w:color w:val="0064A7"/>
                <w:sz w:val="16"/>
                <w:szCs w:val="16"/>
              </w:rPr>
              <w:t xml:space="preserve">   </w:t>
            </w:r>
            <w:r w:rsidR="008D38BB">
              <w:rPr>
                <w:color w:val="0064A7"/>
                <w:sz w:val="16"/>
                <w:szCs w:val="16"/>
              </w:rPr>
              <w:t xml:space="preserve">                                 </w:t>
            </w:r>
            <w:r>
              <w:rPr>
                <w:color w:val="0064A7"/>
                <w:sz w:val="16"/>
                <w:szCs w:val="16"/>
              </w:rPr>
              <w:t xml:space="preserve">  </w:t>
            </w:r>
            <w:r w:rsidR="007E4D43">
              <w:rPr>
                <w:color w:val="0064A7"/>
                <w:sz w:val="16"/>
                <w:szCs w:val="16"/>
              </w:rPr>
              <w:t xml:space="preserve">         </w:t>
            </w:r>
            <w:r w:rsidR="00307336">
              <w:rPr>
                <w:color w:val="0064A7"/>
                <w:sz w:val="16"/>
                <w:szCs w:val="16"/>
              </w:rPr>
              <w:t xml:space="preserve">   CairnsPlan 2016 Version 2.</w:t>
            </w:r>
            <w:r w:rsidR="00330092">
              <w:rPr>
                <w:color w:val="0064A7"/>
                <w:sz w:val="16"/>
                <w:szCs w:val="16"/>
              </w:rPr>
              <w:t>1</w:t>
            </w:r>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330092">
              <w:rPr>
                <w:noProof/>
                <w:color w:val="0064A7"/>
                <w:sz w:val="16"/>
                <w:szCs w:val="16"/>
              </w:rPr>
              <w:t>4</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330092">
              <w:rPr>
                <w:noProof/>
                <w:color w:val="0064A7"/>
                <w:sz w:val="16"/>
                <w:szCs w:val="16"/>
              </w:rPr>
              <w:t>4</w:t>
            </w:r>
            <w:r w:rsidRPr="00516F8E">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09" w:rsidRDefault="00E94809">
      <w:pPr>
        <w:spacing w:after="0" w:line="240" w:lineRule="auto"/>
      </w:pPr>
      <w:r>
        <w:separator/>
      </w:r>
    </w:p>
  </w:footnote>
  <w:footnote w:type="continuationSeparator" w:id="0">
    <w:p w:rsidR="00E94809" w:rsidRDefault="00E94809">
      <w:pPr>
        <w:spacing w:after="0" w:line="240" w:lineRule="auto"/>
      </w:pPr>
      <w:r>
        <w:continuationSeparator/>
      </w:r>
    </w:p>
  </w:footnote>
  <w:footnote w:id="1">
    <w:p w:rsidR="00516F8E" w:rsidRPr="00B52477" w:rsidRDefault="00516F8E">
      <w:pPr>
        <w:pStyle w:val="FootnoteText"/>
        <w:rPr>
          <w:sz w:val="16"/>
          <w:szCs w:val="16"/>
        </w:rPr>
      </w:pPr>
      <w:r w:rsidRPr="00B52477">
        <w:rPr>
          <w:rStyle w:val="FootnoteReference"/>
          <w:sz w:val="16"/>
          <w:szCs w:val="16"/>
        </w:rPr>
        <w:footnoteRef/>
      </w:r>
      <w:r w:rsidRPr="00B52477">
        <w:rPr>
          <w:sz w:val="16"/>
          <w:szCs w:val="16"/>
        </w:rPr>
        <w:t xml:space="preserve"> </w:t>
      </w:r>
      <w:r w:rsidRPr="00D74A42">
        <w:rPr>
          <w:rFonts w:ascii="Arial" w:hAnsi="Arial" w:cs="Arial"/>
          <w:sz w:val="16"/>
          <w:szCs w:val="16"/>
        </w:rPr>
        <w:t>This is the minimum width of the lot measured at any point and the minimum dimension of any boundary. This excludes access strips.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5FE2C4DF" wp14:editId="19A794E0">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4D072480" wp14:editId="26101526">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5FA4A522"/>
    <w:lvl w:ilvl="0">
      <w:start w:val="9"/>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097"/>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E2B5E"/>
    <w:rsid w:val="002E308E"/>
    <w:rsid w:val="002E6A8A"/>
    <w:rsid w:val="002F537D"/>
    <w:rsid w:val="002F59C3"/>
    <w:rsid w:val="003002C9"/>
    <w:rsid w:val="00302D3D"/>
    <w:rsid w:val="00304F7A"/>
    <w:rsid w:val="00305DF5"/>
    <w:rsid w:val="003066BB"/>
    <w:rsid w:val="00306C52"/>
    <w:rsid w:val="00307336"/>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092"/>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4DCA"/>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4D43"/>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7AF"/>
    <w:rsid w:val="00830D1E"/>
    <w:rsid w:val="00830E44"/>
    <w:rsid w:val="008313A4"/>
    <w:rsid w:val="00832759"/>
    <w:rsid w:val="00833625"/>
    <w:rsid w:val="008341D4"/>
    <w:rsid w:val="00834327"/>
    <w:rsid w:val="008358B4"/>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38BB"/>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44A"/>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5EB2"/>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09"/>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1DE"/>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65CD81"/>
  <w15:docId w15:val="{BFAA6454-6EB7-4481-B2FF-1FDCCF71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2822350D-2DE1-4FFA-B30A-7C8573B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10</cp:revision>
  <cp:lastPrinted>2016-02-16T04:27:00Z</cp:lastPrinted>
  <dcterms:created xsi:type="dcterms:W3CDTF">2016-02-25T08:11:00Z</dcterms:created>
  <dcterms:modified xsi:type="dcterms:W3CDTF">2019-10-31T23:23:00Z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