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01F" w14:textId="77777777" w:rsidR="00AE16B9" w:rsidRDefault="00AA4615">
      <w:pPr>
        <w:pStyle w:val="Title"/>
        <w:numPr>
          <w:ilvl w:val="2"/>
          <w:numId w:val="3"/>
        </w:numPr>
        <w:tabs>
          <w:tab w:val="left" w:pos="966"/>
        </w:tabs>
        <w:ind w:hanging="854"/>
      </w:pPr>
      <w:r>
        <w:t>Principal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 xml:space="preserve"> zone code</w:t>
      </w:r>
    </w:p>
    <w:p w14:paraId="724194D4" w14:textId="77777777" w:rsidR="00AE16B9" w:rsidRDefault="00AE16B9">
      <w:pPr>
        <w:pStyle w:val="BodyText"/>
        <w:spacing w:before="4"/>
        <w:ind w:left="0" w:firstLine="0"/>
        <w:rPr>
          <w:b/>
          <w:sz w:val="24"/>
        </w:rPr>
      </w:pPr>
    </w:p>
    <w:p w14:paraId="58F7749D" w14:textId="77777777" w:rsidR="00AE16B9" w:rsidRDefault="00AA4615">
      <w:pPr>
        <w:pStyle w:val="Heading1"/>
        <w:numPr>
          <w:ilvl w:val="3"/>
          <w:numId w:val="3"/>
        </w:numPr>
        <w:tabs>
          <w:tab w:val="left" w:pos="966"/>
        </w:tabs>
        <w:ind w:hanging="854"/>
      </w:pPr>
      <w:r>
        <w:t>Application</w:t>
      </w:r>
    </w:p>
    <w:p w14:paraId="28417E95" w14:textId="77777777" w:rsidR="00AE16B9" w:rsidRDefault="00AA4615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zone.</w:t>
      </w:r>
    </w:p>
    <w:p w14:paraId="73A1E1E8" w14:textId="77777777" w:rsidR="00AE16B9" w:rsidRDefault="00AE16B9">
      <w:pPr>
        <w:pStyle w:val="BodyText"/>
        <w:spacing w:before="2"/>
        <w:ind w:left="0" w:firstLine="0"/>
        <w:rPr>
          <w:sz w:val="26"/>
        </w:rPr>
      </w:pPr>
    </w:p>
    <w:p w14:paraId="246481EF" w14:textId="77777777" w:rsidR="00AE16B9" w:rsidRDefault="00AA4615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3ED98305" w14:textId="77777777" w:rsidR="00AE16B9" w:rsidRDefault="00AE16B9">
      <w:pPr>
        <w:pStyle w:val="BodyText"/>
        <w:spacing w:before="1"/>
        <w:ind w:left="0" w:firstLine="0"/>
        <w:rPr>
          <w:sz w:val="26"/>
        </w:rPr>
      </w:pPr>
    </w:p>
    <w:p w14:paraId="39841E73" w14:textId="77777777" w:rsidR="00AE16B9" w:rsidRDefault="00AA4615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150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metres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Strategic</w:t>
      </w:r>
      <w:r>
        <w:rPr>
          <w:spacing w:val="-2"/>
          <w:sz w:val="16"/>
        </w:rPr>
        <w:t xml:space="preserve"> </w:t>
      </w:r>
      <w:r>
        <w:rPr>
          <w:sz w:val="16"/>
        </w:rPr>
        <w:t>Port</w:t>
      </w:r>
      <w:r>
        <w:rPr>
          <w:spacing w:val="-2"/>
          <w:sz w:val="16"/>
        </w:rPr>
        <w:t xml:space="preserve"> </w:t>
      </w:r>
      <w:r>
        <w:rPr>
          <w:sz w:val="16"/>
        </w:rPr>
        <w:t>Land, as</w:t>
      </w:r>
      <w:r>
        <w:rPr>
          <w:spacing w:val="-3"/>
          <w:sz w:val="16"/>
        </w:rPr>
        <w:t xml:space="preserve"> </w:t>
      </w:r>
      <w:r>
        <w:rPr>
          <w:sz w:val="16"/>
        </w:rPr>
        <w:t>identified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maps</w:t>
      </w:r>
      <w:r>
        <w:rPr>
          <w:spacing w:val="-3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Ports</w:t>
      </w:r>
      <w:r>
        <w:rPr>
          <w:spacing w:val="1"/>
          <w:sz w:val="16"/>
        </w:rPr>
        <w:t xml:space="preserve"> </w:t>
      </w:r>
      <w:r>
        <w:rPr>
          <w:sz w:val="16"/>
        </w:rPr>
        <w:t>North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advice.</w:t>
      </w:r>
    </w:p>
    <w:p w14:paraId="1C90EE22" w14:textId="77777777" w:rsidR="00AE16B9" w:rsidRDefault="00AE16B9">
      <w:pPr>
        <w:pStyle w:val="BodyText"/>
        <w:spacing w:before="3"/>
        <w:ind w:left="0" w:firstLine="0"/>
        <w:rPr>
          <w:sz w:val="23"/>
        </w:rPr>
      </w:pPr>
    </w:p>
    <w:p w14:paraId="7F0C4558" w14:textId="77777777" w:rsidR="00AE16B9" w:rsidRDefault="00AA4615">
      <w:pPr>
        <w:pStyle w:val="Heading1"/>
        <w:numPr>
          <w:ilvl w:val="3"/>
          <w:numId w:val="3"/>
        </w:numPr>
        <w:tabs>
          <w:tab w:val="left" w:pos="966"/>
        </w:tabs>
        <w:spacing w:before="1"/>
        <w:ind w:hanging="854"/>
      </w:pPr>
      <w:r>
        <w:t>Purpose</w:t>
      </w:r>
    </w:p>
    <w:p w14:paraId="14CD4D9D" w14:textId="77777777" w:rsidR="00AE16B9" w:rsidRDefault="00AA4615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54" w:line="276" w:lineRule="auto"/>
        <w:ind w:right="42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(including, for example,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3"/>
          <w:sz w:val="20"/>
        </w:rPr>
        <w:t xml:space="preserve"> </w:t>
      </w:r>
      <w:r>
        <w:rPr>
          <w:sz w:val="20"/>
        </w:rPr>
        <w:t>business,</w:t>
      </w:r>
      <w:r>
        <w:rPr>
          <w:spacing w:val="-3"/>
          <w:sz w:val="20"/>
        </w:rPr>
        <w:t xml:space="preserve"> </w:t>
      </w:r>
      <w:r>
        <w:rPr>
          <w:sz w:val="20"/>
        </w:rPr>
        <w:t>community,</w:t>
      </w:r>
      <w:r>
        <w:rPr>
          <w:spacing w:val="-52"/>
          <w:sz w:val="20"/>
        </w:rPr>
        <w:t xml:space="preserve"> </w:t>
      </w:r>
      <w:r>
        <w:rPr>
          <w:sz w:val="20"/>
        </w:rPr>
        <w:t>cultural,</w:t>
      </w:r>
      <w:r>
        <w:rPr>
          <w:spacing w:val="-2"/>
          <w:sz w:val="20"/>
        </w:rPr>
        <w:t xml:space="preserve"> </w:t>
      </w:r>
      <w:r>
        <w:rPr>
          <w:sz w:val="20"/>
        </w:rPr>
        <w:t>entertainment,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professional,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retail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activities) to—</w:t>
      </w:r>
    </w:p>
    <w:p w14:paraId="23273144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 urban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199BE25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the 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72204D02" w14:textId="77777777" w:rsidR="00AE16B9" w:rsidRDefault="00AE16B9">
      <w:pPr>
        <w:pStyle w:val="BodyText"/>
        <w:spacing w:before="1"/>
        <w:ind w:left="0" w:firstLine="0"/>
        <w:rPr>
          <w:sz w:val="26"/>
        </w:rPr>
      </w:pPr>
    </w:p>
    <w:p w14:paraId="5C372F13" w14:textId="77777777" w:rsidR="00AE16B9" w:rsidRDefault="00AA4615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76" w:lineRule="auto"/>
        <w:ind w:right="90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and function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hierarchy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4C15D4BA" w14:textId="77777777" w:rsidR="00AE16B9" w:rsidRDefault="00AE16B9">
      <w:pPr>
        <w:pStyle w:val="BodyText"/>
        <w:spacing w:before="10"/>
        <w:ind w:left="0" w:firstLine="0"/>
        <w:rPr>
          <w:sz w:val="22"/>
        </w:rPr>
      </w:pPr>
    </w:p>
    <w:p w14:paraId="7C8EC1D4" w14:textId="77777777" w:rsidR="00AE16B9" w:rsidRDefault="00AA4615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BAECF31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widest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administrative, community,</w:t>
      </w:r>
      <w:r>
        <w:rPr>
          <w:spacing w:val="-3"/>
          <w:sz w:val="20"/>
        </w:rPr>
        <w:t xml:space="preserve"> </w:t>
      </w:r>
      <w:r>
        <w:rPr>
          <w:sz w:val="20"/>
        </w:rPr>
        <w:t>cultural, tourism,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provided;</w:t>
      </w:r>
    </w:p>
    <w:p w14:paraId="4C4F30F0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well-designed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3"/>
          <w:sz w:val="20"/>
        </w:rPr>
        <w:t xml:space="preserve"> </w:t>
      </w:r>
      <w:r>
        <w:rPr>
          <w:sz w:val="20"/>
        </w:rPr>
        <w:t>scaled</w:t>
      </w:r>
      <w:r>
        <w:rPr>
          <w:spacing w:val="-1"/>
          <w:sz w:val="20"/>
        </w:rPr>
        <w:t xml:space="preserve"> </w:t>
      </w:r>
      <w:r>
        <w:rPr>
          <w:sz w:val="20"/>
        </w:rPr>
        <w:t>art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infrastructure;</w:t>
      </w:r>
    </w:p>
    <w:p w14:paraId="1515527D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accommodation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 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 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1"/>
          <w:sz w:val="20"/>
        </w:rPr>
        <w:t xml:space="preserve"> </w:t>
      </w:r>
      <w:r>
        <w:rPr>
          <w:sz w:val="20"/>
        </w:rPr>
        <w:t>and integrate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and enhance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vibrancy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6E0A3D14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amenity,</w:t>
      </w:r>
      <w:r>
        <w:rPr>
          <w:spacing w:val="-2"/>
          <w:sz w:val="20"/>
        </w:rPr>
        <w:t xml:space="preserve"> </w:t>
      </w:r>
      <w:r>
        <w:rPr>
          <w:sz w:val="20"/>
        </w:rPr>
        <w:t>with a</w:t>
      </w:r>
      <w:r>
        <w:rPr>
          <w:spacing w:val="-2"/>
          <w:sz w:val="20"/>
        </w:rPr>
        <w:t xml:space="preserve"> </w:t>
      </w:r>
      <w:r>
        <w:rPr>
          <w:sz w:val="20"/>
        </w:rPr>
        <w:t>tropical</w:t>
      </w:r>
      <w:r>
        <w:rPr>
          <w:spacing w:val="-3"/>
          <w:sz w:val="20"/>
        </w:rPr>
        <w:t xml:space="preserve"> </w:t>
      </w:r>
      <w:r>
        <w:rPr>
          <w:sz w:val="20"/>
        </w:rPr>
        <w:t>design incorporating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3"/>
          <w:sz w:val="20"/>
        </w:rPr>
        <w:t xml:space="preserve"> </w:t>
      </w:r>
      <w:r>
        <w:rPr>
          <w:sz w:val="20"/>
        </w:rPr>
        <w:t>elements</w:t>
      </w:r>
      <w:r>
        <w:rPr>
          <w:spacing w:val="-1"/>
          <w:sz w:val="20"/>
        </w:rPr>
        <w:t xml:space="preserve"> </w:t>
      </w:r>
      <w:r>
        <w:rPr>
          <w:sz w:val="20"/>
        </w:rPr>
        <w:t>and building</w:t>
      </w:r>
      <w:r>
        <w:rPr>
          <w:spacing w:val="-3"/>
          <w:sz w:val="20"/>
        </w:rPr>
        <w:t xml:space="preserve"> </w:t>
      </w:r>
      <w:r>
        <w:rPr>
          <w:sz w:val="20"/>
        </w:rPr>
        <w:t>features;</w:t>
      </w:r>
    </w:p>
    <w:p w14:paraId="19D626E6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malls, plazas,</w:t>
      </w:r>
      <w:r>
        <w:rPr>
          <w:spacing w:val="-1"/>
          <w:sz w:val="20"/>
        </w:rPr>
        <w:t xml:space="preserve"> </w:t>
      </w:r>
      <w:r>
        <w:rPr>
          <w:sz w:val="20"/>
        </w:rPr>
        <w:t>parks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gardens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provided;</w:t>
      </w:r>
    </w:p>
    <w:p w14:paraId="479EF822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landscaping</w:t>
      </w:r>
      <w:r>
        <w:rPr>
          <w:spacing w:val="-3"/>
          <w:sz w:val="20"/>
        </w:rPr>
        <w:t xml:space="preserve"> </w:t>
      </w:r>
      <w:r>
        <w:rPr>
          <w:sz w:val="20"/>
        </w:rPr>
        <w:t>is of</w:t>
      </w:r>
      <w:r>
        <w:rPr>
          <w:spacing w:val="-3"/>
          <w:sz w:val="20"/>
        </w:rPr>
        <w:t xml:space="preserve"> </w:t>
      </w:r>
      <w:r>
        <w:rPr>
          <w:sz w:val="20"/>
        </w:rPr>
        <w:t>a high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visual</w:t>
      </w:r>
      <w:r>
        <w:rPr>
          <w:spacing w:val="-1"/>
          <w:sz w:val="20"/>
        </w:rPr>
        <w:t xml:space="preserve"> </w:t>
      </w:r>
      <w:r>
        <w:rPr>
          <w:sz w:val="20"/>
        </w:rPr>
        <w:t>dominance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tropical</w:t>
      </w:r>
      <w:r>
        <w:rPr>
          <w:spacing w:val="-3"/>
          <w:sz w:val="20"/>
        </w:rPr>
        <w:t xml:space="preserve"> </w:t>
      </w:r>
      <w:r>
        <w:rPr>
          <w:sz w:val="20"/>
        </w:rPr>
        <w:t>vegetation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streetscape;</w:t>
      </w:r>
    </w:p>
    <w:p w14:paraId="38A1FB21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maximises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encourages</w:t>
      </w:r>
      <w:r>
        <w:rPr>
          <w:spacing w:val="-2"/>
          <w:sz w:val="20"/>
        </w:rPr>
        <w:t xml:space="preserve"> </w:t>
      </w:r>
      <w:r>
        <w:rPr>
          <w:sz w:val="20"/>
        </w:rPr>
        <w:t>walking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cycling;</w:t>
      </w:r>
    </w:p>
    <w:p w14:paraId="392C0578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 a</w:t>
      </w:r>
      <w:r>
        <w:rPr>
          <w:spacing w:val="-2"/>
          <w:sz w:val="20"/>
        </w:rPr>
        <w:t xml:space="preserve"> </w:t>
      </w:r>
      <w:r>
        <w:rPr>
          <w:sz w:val="20"/>
        </w:rPr>
        <w:t>vibrant,</w:t>
      </w:r>
      <w:r>
        <w:rPr>
          <w:spacing w:val="-3"/>
          <w:sz w:val="20"/>
        </w:rPr>
        <w:t xml:space="preserve"> </w:t>
      </w:r>
      <w:r>
        <w:rPr>
          <w:sz w:val="20"/>
        </w:rPr>
        <w:t>engaging and active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comfortable and</w:t>
      </w:r>
      <w:r>
        <w:rPr>
          <w:spacing w:val="-2"/>
          <w:sz w:val="20"/>
        </w:rPr>
        <w:t xml:space="preserve"> </w:t>
      </w:r>
      <w:r>
        <w:rPr>
          <w:sz w:val="20"/>
        </w:rPr>
        <w:t>enjoyable for</w:t>
      </w:r>
      <w:r>
        <w:rPr>
          <w:spacing w:val="-3"/>
          <w:sz w:val="20"/>
        </w:rPr>
        <w:t xml:space="preserve"> </w:t>
      </w:r>
      <w:r>
        <w:rPr>
          <w:sz w:val="20"/>
        </w:rPr>
        <w:t>pedestrians;</w:t>
      </w:r>
    </w:p>
    <w:p w14:paraId="68DA9652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24C5BDCE" w14:textId="77777777" w:rsidR="00AE16B9" w:rsidRDefault="00AA4615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 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Port of</w:t>
      </w:r>
      <w:r>
        <w:rPr>
          <w:spacing w:val="-3"/>
          <w:sz w:val="20"/>
        </w:rPr>
        <w:t xml:space="preserve"> </w:t>
      </w:r>
      <w:r>
        <w:rPr>
          <w:sz w:val="20"/>
        </w:rPr>
        <w:t>Cairns.</w:t>
      </w:r>
    </w:p>
    <w:p w14:paraId="510F3E88" w14:textId="77777777" w:rsidR="00AE16B9" w:rsidRDefault="00AE16B9">
      <w:pPr>
        <w:pStyle w:val="BodyText"/>
        <w:ind w:left="0" w:firstLine="0"/>
        <w:rPr>
          <w:sz w:val="26"/>
        </w:rPr>
      </w:pPr>
    </w:p>
    <w:p w14:paraId="50DED82C" w14:textId="77777777" w:rsidR="00AE16B9" w:rsidRDefault="00AA4615">
      <w:pPr>
        <w:spacing w:before="1"/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1017F7FD" w14:textId="77777777" w:rsidR="00AE16B9" w:rsidRDefault="00AE16B9">
      <w:pPr>
        <w:pStyle w:val="BodyText"/>
        <w:spacing w:before="10"/>
        <w:ind w:left="0" w:firstLine="0"/>
        <w:rPr>
          <w:sz w:val="19"/>
        </w:rPr>
      </w:pPr>
    </w:p>
    <w:p w14:paraId="02915CE3" w14:textId="77777777" w:rsidR="00AE16B9" w:rsidRDefault="00AA4615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6.</w:t>
      </w:r>
    </w:p>
    <w:p w14:paraId="1DA517E1" w14:textId="77777777" w:rsidR="00AE16B9" w:rsidRDefault="00AE16B9">
      <w:pPr>
        <w:spacing w:line="276" w:lineRule="auto"/>
        <w:rPr>
          <w:sz w:val="16"/>
        </w:rPr>
        <w:sectPr w:rsidR="00AE16B9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223"/>
          <w:cols w:space="720"/>
        </w:sectPr>
      </w:pPr>
    </w:p>
    <w:p w14:paraId="6191DB0B" w14:textId="77777777" w:rsidR="00AE16B9" w:rsidRDefault="00AA4615">
      <w:pPr>
        <w:pStyle w:val="Heading1"/>
        <w:numPr>
          <w:ilvl w:val="3"/>
          <w:numId w:val="3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38D30B4" w14:textId="77777777" w:rsidR="00AE16B9" w:rsidRDefault="00AA4615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6.2.17.3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Principal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zone 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E16B9" w14:paraId="0131C833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923EF5" w14:textId="77777777" w:rsidR="00AE16B9" w:rsidRDefault="00AA4615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786277A" w14:textId="77777777" w:rsidR="00AE16B9" w:rsidRDefault="00AA4615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0A5516F" w14:textId="77777777" w:rsidR="00AE16B9" w:rsidRDefault="00AA4615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E16B9" w14:paraId="5E78A0F5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6DD9FAD5" w14:textId="77777777" w:rsidR="00AE16B9" w:rsidRDefault="00AA4615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E16B9" w14:paraId="766EF195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4C3CBD1" w14:textId="77777777" w:rsidR="00AE16B9" w:rsidRDefault="00AA461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E16B9" w14:paraId="4A3C5ACF" w14:textId="77777777">
        <w:trPr>
          <w:trHeight w:val="859"/>
        </w:trPr>
        <w:tc>
          <w:tcPr>
            <w:tcW w:w="4856" w:type="dxa"/>
          </w:tcPr>
          <w:p w14:paraId="1936C71C" w14:textId="77777777" w:rsidR="00AE16B9" w:rsidRDefault="00AA461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58138E3" w14:textId="77777777" w:rsidR="00AE16B9" w:rsidRDefault="00AA4615">
            <w:pPr>
              <w:pStyle w:val="TableParagraph"/>
              <w:spacing w:before="1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297053C1" w14:textId="77777777" w:rsidR="00AE16B9" w:rsidRDefault="00AA461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549CD2F" w14:textId="77777777" w:rsidR="00AE16B9" w:rsidRDefault="00AA461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B515526" w14:textId="77777777" w:rsidR="00AE16B9" w:rsidRDefault="00AE16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16B9" w14:paraId="7E203971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0874A666" w14:textId="77777777" w:rsidR="00AE16B9" w:rsidRDefault="00AA461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Principal </w:t>
            </w:r>
            <w:proofErr w:type="spellStart"/>
            <w:r>
              <w:rPr>
                <w:b/>
                <w:sz w:val="20"/>
              </w:rPr>
              <w:t>centre</w:t>
            </w:r>
            <w:proofErr w:type="spellEnd"/>
          </w:p>
        </w:tc>
      </w:tr>
      <w:tr w:rsidR="00AE16B9" w14:paraId="431BC1A2" w14:textId="77777777">
        <w:trPr>
          <w:trHeight w:val="2964"/>
        </w:trPr>
        <w:tc>
          <w:tcPr>
            <w:tcW w:w="4856" w:type="dxa"/>
          </w:tcPr>
          <w:p w14:paraId="3548B291" w14:textId="77777777" w:rsidR="00AE16B9" w:rsidRDefault="00AA461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0F72ABC" w14:textId="77777777" w:rsidR="00AE16B9" w:rsidRDefault="00AA4615">
            <w:pPr>
              <w:pStyle w:val="TableParagraph"/>
              <w:spacing w:before="34"/>
              <w:ind w:right="21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reinforces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</w:p>
          <w:p w14:paraId="652F41C4" w14:textId="77777777" w:rsidR="00AE16B9" w:rsidRDefault="00AE16B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60FAE361" w14:textId="77777777" w:rsidR="00AE16B9" w:rsidRDefault="00AA4615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13F1DEA7" w14:textId="77777777" w:rsidR="00AE16B9" w:rsidRDefault="00AE16B9">
            <w:pPr>
              <w:pStyle w:val="TableParagraph"/>
              <w:ind w:left="0"/>
              <w:rPr>
                <w:b/>
                <w:sz w:val="16"/>
              </w:rPr>
            </w:pPr>
          </w:p>
          <w:p w14:paraId="40F75B0D" w14:textId="77777777" w:rsidR="00AE16B9" w:rsidRDefault="00AA4615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  <w:p w14:paraId="6C6CC5E8" w14:textId="77777777" w:rsidR="00AE16B9" w:rsidRDefault="00AE16B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3F13A5D" w14:textId="77777777" w:rsidR="00AE16B9" w:rsidRDefault="00AA4615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 xml:space="preserve">Note – A Centre </w:t>
            </w:r>
            <w:proofErr w:type="gramStart"/>
            <w:r>
              <w:rPr>
                <w:sz w:val="16"/>
              </w:rPr>
              <w:t>need</w:t>
            </w:r>
            <w:proofErr w:type="gramEnd"/>
            <w:r>
              <w:rPr>
                <w:sz w:val="16"/>
              </w:rPr>
              <w:t xml:space="preserve"> and impact assessment may be required 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56" w:type="dxa"/>
          </w:tcPr>
          <w:p w14:paraId="7858B69B" w14:textId="77777777" w:rsidR="00AE16B9" w:rsidRDefault="00AA461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7E625AAE" w14:textId="77777777" w:rsidR="00AE16B9" w:rsidRDefault="00AA461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1E3DC783" w14:textId="77777777" w:rsidR="00AE16B9" w:rsidRDefault="00AE16B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AE043EA" w14:textId="77777777" w:rsidR="001C3D62" w:rsidRDefault="001C3D62"/>
    <w:sectPr w:rsidR="001C3D62">
      <w:pgSz w:w="16840" w:h="11910" w:orient="landscape"/>
      <w:pgMar w:top="1040" w:right="1020" w:bottom="1200" w:left="1020" w:header="61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BF1A" w14:textId="77777777" w:rsidR="001C3D62" w:rsidRDefault="00AA4615">
      <w:r>
        <w:separator/>
      </w:r>
    </w:p>
  </w:endnote>
  <w:endnote w:type="continuationSeparator" w:id="0">
    <w:p w14:paraId="48F3EC8B" w14:textId="77777777" w:rsidR="001C3D62" w:rsidRDefault="00A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3E79" w14:textId="77777777" w:rsidR="00AE16B9" w:rsidRDefault="00AA4615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24FE9D52" wp14:editId="56E61ED7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53A05F5" wp14:editId="2E035867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1E0">
      <w:pict w14:anchorId="51633D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6738B93E" w14:textId="7C8074AF" w:rsidR="00AE16B9" w:rsidRDefault="00AA4615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6276B46" w14:textId="43445F79" w:rsidR="00AE16B9" w:rsidRDefault="00AA4615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163E" w14:textId="77777777" w:rsidR="001C3D62" w:rsidRDefault="00AA4615">
      <w:r>
        <w:separator/>
      </w:r>
    </w:p>
  </w:footnote>
  <w:footnote w:type="continuationSeparator" w:id="0">
    <w:p w14:paraId="4361B8E3" w14:textId="77777777" w:rsidR="001C3D62" w:rsidRDefault="00AA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B76E" w14:textId="77777777" w:rsidR="00AE16B9" w:rsidRDefault="00AA4615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1FF44A07" wp14:editId="79C8BCC4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AA7"/>
    <w:multiLevelType w:val="hybridMultilevel"/>
    <w:tmpl w:val="2D7EA8DC"/>
    <w:lvl w:ilvl="0" w:tplc="86B2CF5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23E1324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C3C29B22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0CFA1B30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82C66A58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1ED64150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0F46743A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50344D5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FE1079E6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41191D3B"/>
    <w:multiLevelType w:val="hybridMultilevel"/>
    <w:tmpl w:val="3ABA5DDA"/>
    <w:lvl w:ilvl="0" w:tplc="E0E2EF80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C08EDC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68A69E0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4FF4C778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C10A3DFA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27E0419C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6E9A6142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7D20BB56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6E2AB118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2" w15:restartNumberingAfterBreak="0">
    <w:nsid w:val="77C93335"/>
    <w:multiLevelType w:val="multilevel"/>
    <w:tmpl w:val="B680DB50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B9"/>
    <w:rsid w:val="001C3D62"/>
    <w:rsid w:val="003451E0"/>
    <w:rsid w:val="00AA4615"/>
    <w:rsid w:val="00A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1BFD0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6"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1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6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4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2021-10-14T03:05:00Z</dcterms:created>
  <dcterms:modified xsi:type="dcterms:W3CDTF">2022-07-04T23:30:00Z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