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BE" w:rsidRPr="005A77FA" w:rsidRDefault="005949BE" w:rsidP="00892A30">
      <w:pPr>
        <w:pStyle w:val="Heading3"/>
        <w:numPr>
          <w:ilvl w:val="2"/>
          <w:numId w:val="65"/>
        </w:numPr>
      </w:pPr>
      <w:r>
        <w:t>Rural residential zone</w:t>
      </w:r>
      <w:r w:rsidR="0039551F">
        <w:t xml:space="preserve"> code</w:t>
      </w:r>
    </w:p>
    <w:p w:rsidR="005949BE" w:rsidRPr="005A77FA" w:rsidRDefault="005949BE" w:rsidP="005949BE">
      <w:pPr>
        <w:pStyle w:val="Heading4"/>
      </w:pPr>
      <w:r w:rsidRPr="005A77FA">
        <w:t>Application</w:t>
      </w:r>
    </w:p>
    <w:p w:rsidR="005949BE" w:rsidRPr="004848FB" w:rsidRDefault="005949BE" w:rsidP="004848FB">
      <w:pPr>
        <w:pStyle w:val="Reportbodytext"/>
        <w:numPr>
          <w:ilvl w:val="0"/>
          <w:numId w:val="25"/>
        </w:numPr>
        <w:spacing w:line="276" w:lineRule="auto"/>
        <w:rPr>
          <w:sz w:val="20"/>
          <w:szCs w:val="20"/>
        </w:rPr>
      </w:pPr>
      <w:r w:rsidRPr="004848FB">
        <w:rPr>
          <w:sz w:val="20"/>
          <w:szCs w:val="20"/>
        </w:rPr>
        <w:t xml:space="preserve">This code applies to assessing development in the </w:t>
      </w:r>
      <w:r w:rsidR="00656CE0" w:rsidRPr="004848FB">
        <w:rPr>
          <w:sz w:val="20"/>
          <w:szCs w:val="20"/>
        </w:rPr>
        <w:t xml:space="preserve">Rural </w:t>
      </w:r>
      <w:r w:rsidRPr="004848FB">
        <w:rPr>
          <w:sz w:val="20"/>
          <w:szCs w:val="20"/>
        </w:rPr>
        <w:t>residential zone.</w:t>
      </w:r>
    </w:p>
    <w:p w:rsidR="005949BE" w:rsidRPr="004848FB" w:rsidRDefault="005949BE" w:rsidP="004848FB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5949BE" w:rsidRPr="004848FB" w:rsidRDefault="005949BE" w:rsidP="004848FB">
      <w:pPr>
        <w:pStyle w:val="Reportbodytext"/>
        <w:numPr>
          <w:ilvl w:val="0"/>
          <w:numId w:val="25"/>
        </w:numPr>
        <w:spacing w:line="276" w:lineRule="auto"/>
        <w:rPr>
          <w:sz w:val="20"/>
          <w:szCs w:val="20"/>
        </w:rPr>
      </w:pPr>
      <w:r w:rsidRPr="004848FB">
        <w:rPr>
          <w:sz w:val="20"/>
          <w:szCs w:val="20"/>
        </w:rPr>
        <w:t>When using this code, reference should be made to Part 5.</w:t>
      </w:r>
    </w:p>
    <w:p w:rsidR="005949BE" w:rsidRPr="005A77FA" w:rsidRDefault="005949BE" w:rsidP="005949BE">
      <w:pPr>
        <w:pStyle w:val="Heading4"/>
      </w:pPr>
      <w:r w:rsidRPr="005A77FA">
        <w:t xml:space="preserve">Purpose </w:t>
      </w:r>
    </w:p>
    <w:p w:rsidR="005949BE" w:rsidRPr="0054143D" w:rsidRDefault="005949BE" w:rsidP="004848FB">
      <w:pPr>
        <w:pStyle w:val="Reportbodytext"/>
        <w:numPr>
          <w:ilvl w:val="0"/>
          <w:numId w:val="55"/>
        </w:numPr>
        <w:spacing w:line="276" w:lineRule="auto"/>
        <w:rPr>
          <w:sz w:val="20"/>
          <w:szCs w:val="20"/>
        </w:rPr>
      </w:pPr>
      <w:r w:rsidRPr="00E2380D">
        <w:rPr>
          <w:sz w:val="20"/>
          <w:szCs w:val="20"/>
        </w:rPr>
        <w:t xml:space="preserve">The purpose of the </w:t>
      </w:r>
      <w:r>
        <w:rPr>
          <w:sz w:val="20"/>
          <w:szCs w:val="20"/>
        </w:rPr>
        <w:t>R</w:t>
      </w:r>
      <w:r w:rsidRPr="00E2380D">
        <w:rPr>
          <w:sz w:val="20"/>
          <w:szCs w:val="20"/>
        </w:rPr>
        <w:t xml:space="preserve">ural residential zone code is to provide for residential development on large lots where local government infrastructure and services may not be provided </w:t>
      </w:r>
      <w:r w:rsidR="00DA3F52">
        <w:rPr>
          <w:sz w:val="20"/>
          <w:szCs w:val="20"/>
        </w:rPr>
        <w:t>on the basis that</w:t>
      </w:r>
      <w:r w:rsidRPr="00E2380D">
        <w:rPr>
          <w:sz w:val="20"/>
          <w:szCs w:val="20"/>
        </w:rPr>
        <w:t xml:space="preserve"> the intensity of development is generally dispersed.</w:t>
      </w:r>
    </w:p>
    <w:p w:rsidR="005949BE" w:rsidRPr="0054143D" w:rsidRDefault="005949BE" w:rsidP="000646E9">
      <w:pPr>
        <w:pStyle w:val="Reportbodytext"/>
        <w:spacing w:line="276" w:lineRule="auto"/>
        <w:ind w:left="567" w:hanging="567"/>
        <w:rPr>
          <w:sz w:val="20"/>
          <w:szCs w:val="20"/>
        </w:rPr>
      </w:pPr>
    </w:p>
    <w:p w:rsidR="005949BE" w:rsidRPr="004F106F" w:rsidRDefault="005949BE" w:rsidP="004848FB">
      <w:pPr>
        <w:pStyle w:val="Reportbodytext"/>
        <w:numPr>
          <w:ilvl w:val="0"/>
          <w:numId w:val="55"/>
        </w:numPr>
        <w:spacing w:line="276" w:lineRule="auto"/>
        <w:rPr>
          <w:sz w:val="20"/>
          <w:szCs w:val="20"/>
        </w:rPr>
      </w:pPr>
      <w:r w:rsidRPr="00D3641D">
        <w:rPr>
          <w:sz w:val="20"/>
          <w:szCs w:val="20"/>
        </w:rPr>
        <w:t xml:space="preserve">The local government purpose of the code is to </w:t>
      </w:r>
      <w:r w:rsidRPr="00BA58C4">
        <w:rPr>
          <w:sz w:val="20"/>
          <w:szCs w:val="20"/>
        </w:rPr>
        <w:t xml:space="preserve">maintain the semi-rural character </w:t>
      </w:r>
      <w:r w:rsidR="00656CE0">
        <w:rPr>
          <w:sz w:val="20"/>
          <w:szCs w:val="20"/>
        </w:rPr>
        <w:t xml:space="preserve">that is achieved through </w:t>
      </w:r>
      <w:r w:rsidRPr="00BA58C4">
        <w:rPr>
          <w:sz w:val="20"/>
          <w:szCs w:val="20"/>
        </w:rPr>
        <w:t>large residential lots.</w:t>
      </w:r>
    </w:p>
    <w:p w:rsidR="005949BE" w:rsidRPr="00A7258A" w:rsidRDefault="005949BE" w:rsidP="000646E9">
      <w:pPr>
        <w:pStyle w:val="Reportbodytext"/>
        <w:spacing w:line="276" w:lineRule="auto"/>
        <w:ind w:left="567" w:hanging="567"/>
        <w:rPr>
          <w:sz w:val="20"/>
          <w:szCs w:val="20"/>
        </w:rPr>
      </w:pPr>
    </w:p>
    <w:p w:rsidR="005949BE" w:rsidRPr="005949BE" w:rsidRDefault="005949BE" w:rsidP="004848FB">
      <w:pPr>
        <w:pStyle w:val="ListParagraph"/>
        <w:numPr>
          <w:ilvl w:val="0"/>
          <w:numId w:val="55"/>
        </w:numPr>
        <w:rPr>
          <w:rFonts w:cs="Arial"/>
          <w:szCs w:val="20"/>
        </w:rPr>
      </w:pPr>
      <w:r w:rsidRPr="005949BE">
        <w:rPr>
          <w:rFonts w:cs="Arial"/>
          <w:szCs w:val="20"/>
        </w:rPr>
        <w:t>The purpose of the code will be achieved through the following overall outcomes:</w:t>
      </w:r>
    </w:p>
    <w:p w:rsidR="005949BE" w:rsidRPr="005949BE" w:rsidRDefault="00CF36CC" w:rsidP="004848FB">
      <w:pPr>
        <w:pStyle w:val="ListParagraph"/>
        <w:widowControl w:val="0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949BE" w:rsidRPr="005949BE">
        <w:rPr>
          <w:rFonts w:cs="Arial"/>
          <w:szCs w:val="20"/>
        </w:rPr>
        <w:t>he dominant character of the area is single detached dwelling houses on large lots with a high standard of amenity;</w:t>
      </w:r>
    </w:p>
    <w:p w:rsidR="005949BE" w:rsidRPr="005949BE" w:rsidRDefault="00CF36CC" w:rsidP="004848FB">
      <w:pPr>
        <w:pStyle w:val="ListParagraph"/>
        <w:widowControl w:val="0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5949BE" w:rsidRPr="005949BE">
        <w:rPr>
          <w:rFonts w:cs="Arial"/>
          <w:szCs w:val="20"/>
        </w:rPr>
        <w:t xml:space="preserve">reas with limited </w:t>
      </w:r>
      <w:r w:rsidR="00172A9E">
        <w:rPr>
          <w:rFonts w:cs="Arial"/>
          <w:szCs w:val="20"/>
        </w:rPr>
        <w:t xml:space="preserve">accessibility, </w:t>
      </w:r>
      <w:r w:rsidR="005949BE" w:rsidRPr="005949BE">
        <w:rPr>
          <w:rFonts w:cs="Arial"/>
          <w:szCs w:val="20"/>
        </w:rPr>
        <w:t xml:space="preserve">infrastructure and services are not </w:t>
      </w:r>
      <w:r w:rsidR="00656CE0">
        <w:rPr>
          <w:rFonts w:cs="Arial"/>
          <w:szCs w:val="20"/>
        </w:rPr>
        <w:t>developed</w:t>
      </w:r>
      <w:r w:rsidR="005949BE" w:rsidRPr="005949BE">
        <w:rPr>
          <w:rFonts w:cs="Arial"/>
          <w:szCs w:val="20"/>
        </w:rPr>
        <w:t>;</w:t>
      </w:r>
    </w:p>
    <w:p w:rsidR="005949BE" w:rsidRPr="005949BE" w:rsidRDefault="00CF36CC" w:rsidP="004848FB">
      <w:pPr>
        <w:pStyle w:val="ListParagraph"/>
        <w:widowControl w:val="0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5949BE" w:rsidRPr="005949BE">
        <w:rPr>
          <w:rFonts w:cs="Arial"/>
          <w:szCs w:val="20"/>
        </w:rPr>
        <w:t>econfiguration results in lots of regular shapes and proportions;</w:t>
      </w:r>
    </w:p>
    <w:p w:rsidR="005949BE" w:rsidRPr="005949BE" w:rsidRDefault="00CF36CC" w:rsidP="004848FB">
      <w:pPr>
        <w:pStyle w:val="ListParagraph"/>
        <w:widowControl w:val="0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5949BE" w:rsidRPr="005949BE">
        <w:rPr>
          <w:rFonts w:cs="Arial"/>
          <w:szCs w:val="20"/>
        </w:rPr>
        <w:t>and within the zone that is constrained by factors such as slope, ecological values, vegetation or waterways may be appropriate for rural residential uses where a functional and practical building envelope can be established without compromising the integrity, stability and natural structure of those slopes, ecological values, vegetation or waterways;</w:t>
      </w:r>
      <w:bookmarkStart w:id="0" w:name="_GoBack"/>
      <w:bookmarkEnd w:id="0"/>
    </w:p>
    <w:p w:rsidR="005949BE" w:rsidRPr="0054588B" w:rsidRDefault="00CF36CC" w:rsidP="004848FB">
      <w:pPr>
        <w:widowControl w:val="0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5949BE" w:rsidRPr="00C034FF">
        <w:rPr>
          <w:rFonts w:cs="Arial"/>
          <w:szCs w:val="20"/>
        </w:rPr>
        <w:t xml:space="preserve">evelopment </w:t>
      </w:r>
      <w:r w:rsidR="005949BE" w:rsidRPr="00990979">
        <w:rPr>
          <w:rFonts w:cs="Arial"/>
          <w:szCs w:val="20"/>
        </w:rPr>
        <w:t>reflects and responds to the natural featu</w:t>
      </w:r>
      <w:r w:rsidR="002E2B5E">
        <w:rPr>
          <w:rFonts w:cs="Arial"/>
          <w:szCs w:val="20"/>
        </w:rPr>
        <w:t>res and constraints of the land;</w:t>
      </w:r>
    </w:p>
    <w:p w:rsidR="005949BE" w:rsidRDefault="00CF36CC" w:rsidP="004848FB">
      <w:pPr>
        <w:pStyle w:val="ListParagraph"/>
        <w:widowControl w:val="0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5949BE" w:rsidRPr="005949BE">
        <w:rPr>
          <w:rFonts w:cs="Arial"/>
          <w:szCs w:val="20"/>
        </w:rPr>
        <w:t xml:space="preserve">ural residential development is contained within </w:t>
      </w:r>
      <w:r w:rsidR="00172A9E" w:rsidRPr="005949BE">
        <w:rPr>
          <w:rFonts w:cs="Arial"/>
          <w:szCs w:val="20"/>
        </w:rPr>
        <w:t xml:space="preserve">identified </w:t>
      </w:r>
      <w:r w:rsidR="005949BE" w:rsidRPr="005949BE">
        <w:rPr>
          <w:rFonts w:cs="Arial"/>
          <w:szCs w:val="20"/>
        </w:rPr>
        <w:t>areas to prevent the loss and further fragmentation of agricultural land.</w:t>
      </w:r>
    </w:p>
    <w:p w:rsidR="00D47319" w:rsidRDefault="00D47319" w:rsidP="00D47319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D47319" w:rsidRDefault="00D47319" w:rsidP="00D47319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D47319" w:rsidRDefault="00D47319" w:rsidP="00D47319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D47319" w:rsidRDefault="00D47319" w:rsidP="00D47319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D47319" w:rsidRDefault="00D47319" w:rsidP="00D47319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D47319" w:rsidRDefault="00D47319" w:rsidP="00D47319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D47319" w:rsidRDefault="00D47319" w:rsidP="00D47319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D47319" w:rsidRDefault="00D47319" w:rsidP="00D47319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D47319" w:rsidRDefault="00D47319" w:rsidP="00D47319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D47319" w:rsidRPr="00D47319" w:rsidRDefault="00D47319" w:rsidP="00D47319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5949BE" w:rsidRPr="005A77FA" w:rsidRDefault="005949BE" w:rsidP="005949BE">
      <w:pPr>
        <w:pStyle w:val="Heading4"/>
      </w:pPr>
      <w:bookmarkStart w:id="1" w:name="_Ref363548475"/>
      <w:r>
        <w:lastRenderedPageBreak/>
        <w:t>Criteria for a</w:t>
      </w:r>
      <w:r w:rsidRPr="005A77FA">
        <w:t>ssessment</w:t>
      </w:r>
      <w:bookmarkEnd w:id="1"/>
      <w:r w:rsidRPr="005A77FA">
        <w:t xml:space="preserve"> </w:t>
      </w:r>
    </w:p>
    <w:p w:rsidR="005949BE" w:rsidRPr="00BF128E" w:rsidRDefault="005949BE" w:rsidP="005949BE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</w:p>
    <w:p w:rsidR="005949BE" w:rsidRPr="005A77FA" w:rsidRDefault="005949BE" w:rsidP="005949BE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5949BE" w:rsidRPr="005A77FA" w:rsidRDefault="005949BE" w:rsidP="005949BE">
      <w:pPr>
        <w:pStyle w:val="Caption"/>
      </w:pPr>
      <w:r>
        <w:t xml:space="preserve">Table </w:t>
      </w:r>
      <w:r>
        <w:fldChar w:fldCharType="begin"/>
      </w:r>
      <w:r>
        <w:instrText xml:space="preserve"> REF _Ref363548475 \r \h </w:instrText>
      </w:r>
      <w:r>
        <w:fldChar w:fldCharType="separate"/>
      </w:r>
      <w:r w:rsidR="00CF44F9">
        <w:t>6.2.18.3</w:t>
      </w:r>
      <w:r>
        <w:fldChar w:fldCharType="end"/>
      </w:r>
      <w:r>
        <w:t>.a</w:t>
      </w:r>
      <w:r w:rsidRPr="005A77FA">
        <w:t xml:space="preserve"> </w:t>
      </w:r>
      <w:r>
        <w:t xml:space="preserve">– Rural residential zone </w:t>
      </w:r>
      <w:r w:rsidR="0072131B">
        <w:t xml:space="preserve">code </w:t>
      </w:r>
      <w:r>
        <w:t>–</w:t>
      </w:r>
      <w:r w:rsidR="00113697">
        <w:t xml:space="preserve"> self-assessable and</w:t>
      </w:r>
      <w:r>
        <w:t xml:space="preserve">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892A30" w:rsidRPr="005A77FA" w:rsidTr="00892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92A30" w:rsidRPr="005A77FA" w:rsidRDefault="00892A30" w:rsidP="00B127AC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92A30" w:rsidRPr="005A77FA" w:rsidRDefault="00892A30" w:rsidP="00B127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92A30" w:rsidRPr="005A77FA" w:rsidRDefault="00892A30" w:rsidP="00B127AC">
            <w:r>
              <w:t>Applicant response</w:t>
            </w:r>
          </w:p>
        </w:tc>
      </w:tr>
      <w:tr w:rsidR="00892A30" w:rsidRPr="006F6F35" w:rsidTr="0089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92A30" w:rsidRPr="00621988" w:rsidRDefault="00892A30" w:rsidP="005949BE">
            <w:pPr>
              <w:rPr>
                <w:b/>
              </w:rPr>
            </w:pPr>
            <w:r w:rsidRPr="00621988">
              <w:rPr>
                <w:b/>
              </w:rPr>
              <w:t>Fo</w:t>
            </w:r>
            <w:r>
              <w:rPr>
                <w:b/>
              </w:rPr>
              <w:t>r self-assessable and assessable development</w:t>
            </w:r>
          </w:p>
        </w:tc>
      </w:tr>
      <w:tr w:rsidR="00892A30" w:rsidRPr="002C79EE" w:rsidTr="00892A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92A30" w:rsidRDefault="00892A30" w:rsidP="00B127AC">
            <w:pPr>
              <w:rPr>
                <w:rStyle w:val="Strong"/>
              </w:rPr>
            </w:pPr>
            <w:r>
              <w:rPr>
                <w:rStyle w:val="Strong"/>
              </w:rPr>
              <w:t xml:space="preserve">Height </w:t>
            </w:r>
          </w:p>
        </w:tc>
      </w:tr>
      <w:tr w:rsidR="00892A30" w:rsidRPr="005A77FA" w:rsidTr="0089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92A30" w:rsidRPr="005A3A6F" w:rsidRDefault="00892A30" w:rsidP="00B127AC">
            <w:pPr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PO1</w:t>
            </w:r>
          </w:p>
          <w:p w:rsidR="00892A30" w:rsidRDefault="00892A30" w:rsidP="00D512A4">
            <w:pPr>
              <w:rPr>
                <w:rFonts w:cs="Arial"/>
                <w:szCs w:val="20"/>
              </w:rPr>
            </w:pPr>
            <w:r w:rsidRPr="002907A4">
              <w:rPr>
                <w:rFonts w:cs="Arial"/>
                <w:szCs w:val="20"/>
              </w:rPr>
              <w:t xml:space="preserve">The height of all buildings and structures </w:t>
            </w:r>
            <w:r>
              <w:rPr>
                <w:rFonts w:cs="Arial"/>
                <w:szCs w:val="20"/>
              </w:rPr>
              <w:t>is in keeping with the</w:t>
            </w:r>
            <w:r w:rsidRPr="002907A4">
              <w:rPr>
                <w:rFonts w:cs="Arial"/>
                <w:szCs w:val="20"/>
              </w:rPr>
              <w:t xml:space="preserve"> </w:t>
            </w:r>
            <w:r w:rsidRPr="00D3641D">
              <w:rPr>
                <w:szCs w:val="20"/>
              </w:rPr>
              <w:t xml:space="preserve">amenity </w:t>
            </w:r>
            <w:r w:rsidRPr="002907A4">
              <w:rPr>
                <w:rFonts w:cs="Arial"/>
                <w:szCs w:val="20"/>
              </w:rPr>
              <w:t xml:space="preserve">of </w:t>
            </w:r>
            <w:r>
              <w:rPr>
                <w:rFonts w:cs="Arial"/>
                <w:szCs w:val="20"/>
              </w:rPr>
              <w:t xml:space="preserve">adjoining premises and </w:t>
            </w:r>
            <w:r w:rsidRPr="00BA58C4">
              <w:rPr>
                <w:rFonts w:cs="Arial"/>
                <w:szCs w:val="20"/>
              </w:rPr>
              <w:t>the rural</w:t>
            </w:r>
            <w:r w:rsidRPr="002907A4">
              <w:rPr>
                <w:rFonts w:cs="Arial"/>
                <w:szCs w:val="20"/>
              </w:rPr>
              <w:t xml:space="preserve"> </w:t>
            </w:r>
            <w:r>
              <w:rPr>
                <w:szCs w:val="20"/>
              </w:rPr>
              <w:t xml:space="preserve">residential character of the </w:t>
            </w:r>
            <w:r w:rsidRPr="002907A4">
              <w:rPr>
                <w:rFonts w:cs="Arial"/>
                <w:szCs w:val="20"/>
              </w:rPr>
              <w:t>area</w:t>
            </w:r>
            <w:r>
              <w:rPr>
                <w:rFonts w:cs="Arial"/>
                <w:szCs w:val="20"/>
              </w:rPr>
              <w:t>.</w:t>
            </w:r>
            <w:r w:rsidRPr="002907A4">
              <w:rPr>
                <w:rFonts w:cs="Arial"/>
                <w:szCs w:val="20"/>
              </w:rPr>
              <w:t xml:space="preserve"> </w:t>
            </w:r>
          </w:p>
          <w:p w:rsidR="00892A30" w:rsidRDefault="00892A30" w:rsidP="00D512A4">
            <w:pPr>
              <w:rPr>
                <w:rFonts w:cs="Arial"/>
                <w:szCs w:val="20"/>
              </w:rPr>
            </w:pPr>
          </w:p>
          <w:p w:rsidR="00892A30" w:rsidRDefault="00892A30" w:rsidP="00CC12C5">
            <w:pPr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892A30" w:rsidRDefault="00892A30" w:rsidP="00CC12C5">
            <w:pPr>
              <w:rPr>
                <w:sz w:val="16"/>
                <w:szCs w:val="16"/>
              </w:rPr>
            </w:pPr>
          </w:p>
          <w:p w:rsidR="00892A30" w:rsidRPr="005A3A6F" w:rsidRDefault="00892A30" w:rsidP="00A93BE3">
            <w:pPr>
              <w:rPr>
                <w:rFonts w:eastAsiaTheme="minorEastAsia" w:cs="Arial"/>
                <w:szCs w:val="20"/>
                <w:lang w:eastAsia="en-AU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site coverage stated in AO2.1 and setbacks stated in AO3.1 correspond with the height stated in AO1.1.  Where a proposed development exceeds the height stated in AO1.1, the proposed development will also be assessed against PO2 and PO3.</w:t>
            </w:r>
          </w:p>
        </w:tc>
        <w:tc>
          <w:tcPr>
            <w:tcW w:w="1667" w:type="pct"/>
          </w:tcPr>
          <w:p w:rsidR="00892A30" w:rsidRPr="008D7C04" w:rsidRDefault="00892A30" w:rsidP="008F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D7C04">
              <w:rPr>
                <w:rFonts w:ascii="Arial" w:hAnsi="Arial" w:cs="Arial"/>
                <w:b/>
                <w:bCs/>
              </w:rPr>
              <w:t>AO1.1</w:t>
            </w:r>
          </w:p>
          <w:p w:rsidR="00892A30" w:rsidRDefault="00892A30" w:rsidP="008F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D7C04">
              <w:rPr>
                <w:rFonts w:ascii="Arial" w:hAnsi="Arial" w:cs="Arial"/>
              </w:rPr>
              <w:t>Buildings an</w:t>
            </w:r>
            <w:r>
              <w:rPr>
                <w:rFonts w:ascii="Arial" w:hAnsi="Arial" w:cs="Arial"/>
              </w:rPr>
              <w:t>d structures are not more than 8.5</w:t>
            </w:r>
            <w:r w:rsidRPr="008D7C04">
              <w:rPr>
                <w:rFonts w:ascii="Arial" w:hAnsi="Arial" w:cs="Arial"/>
              </w:rPr>
              <w:t xml:space="preserve"> metres and </w:t>
            </w:r>
            <w:r>
              <w:rPr>
                <w:rFonts w:ascii="Arial" w:hAnsi="Arial" w:cs="Arial"/>
              </w:rPr>
              <w:t xml:space="preserve">2 </w:t>
            </w:r>
            <w:r w:rsidRPr="008D7C04">
              <w:rPr>
                <w:rFonts w:ascii="Arial" w:hAnsi="Arial" w:cs="Arial"/>
              </w:rPr>
              <w:t>storeys in height.</w:t>
            </w:r>
            <w:r w:rsidRPr="008D7C0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92A30" w:rsidRDefault="00892A30" w:rsidP="008F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892A30" w:rsidRDefault="00892A30" w:rsidP="008F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892A30" w:rsidRPr="00BA58C4" w:rsidRDefault="00892A30" w:rsidP="00CC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6"/>
                <w:szCs w:val="16"/>
              </w:rPr>
              <w:t>Note –</w:t>
            </w:r>
            <w:r w:rsidRPr="006051A5">
              <w:rPr>
                <w:rFonts w:ascii="Arial" w:hAnsi="Arial" w:cs="Arial"/>
                <w:sz w:val="16"/>
                <w:szCs w:val="16"/>
              </w:rPr>
              <w:t xml:space="preserve"> 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92A30" w:rsidRPr="008D7C04" w:rsidRDefault="00892A30" w:rsidP="008F7F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A30" w:rsidRPr="002C79EE" w:rsidTr="00892A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92A30" w:rsidRDefault="00892A30" w:rsidP="003C3BF6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Site coverage</w:t>
            </w:r>
          </w:p>
        </w:tc>
      </w:tr>
      <w:tr w:rsidR="00892A30" w:rsidRPr="005A77FA" w:rsidTr="0089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92A30" w:rsidRPr="005A3A6F" w:rsidRDefault="00892A30" w:rsidP="003C3BF6">
            <w:pPr>
              <w:keepNext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2</w:t>
            </w:r>
          </w:p>
          <w:p w:rsidR="00892A30" w:rsidRPr="00386A49" w:rsidRDefault="00892A30" w:rsidP="003C3BF6">
            <w:pPr>
              <w:keepNext/>
              <w:rPr>
                <w:rFonts w:cs="Arial"/>
                <w:szCs w:val="20"/>
                <w:highlight w:val="lightGray"/>
              </w:rPr>
            </w:pPr>
            <w:r>
              <w:t xml:space="preserve">The site coverage of all buildings and structures is in keeping with the </w:t>
            </w:r>
            <w:r w:rsidRPr="00BA58C4">
              <w:t>rural residential character and amenity of the</w:t>
            </w:r>
            <w:r>
              <w:t xml:space="preserve"> area.</w:t>
            </w:r>
          </w:p>
        </w:tc>
        <w:tc>
          <w:tcPr>
            <w:tcW w:w="1667" w:type="pct"/>
          </w:tcPr>
          <w:p w:rsidR="00892A30" w:rsidRPr="005A3A6F" w:rsidRDefault="00892A30" w:rsidP="003C3BF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2.1</w:t>
            </w:r>
          </w:p>
          <w:p w:rsidR="00892A30" w:rsidRPr="00BA58C4" w:rsidRDefault="00892A30" w:rsidP="003C3BF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s</w:t>
            </w:r>
            <w:r w:rsidRPr="00386A49">
              <w:rPr>
                <w:rFonts w:cs="Arial"/>
                <w:szCs w:val="20"/>
              </w:rPr>
              <w:t xml:space="preserve">ite coverage is </w:t>
            </w:r>
            <w:r>
              <w:rPr>
                <w:rFonts w:cs="Arial"/>
                <w:szCs w:val="20"/>
              </w:rPr>
              <w:t>not more</w:t>
            </w:r>
            <w:r w:rsidRPr="00386A49">
              <w:rPr>
                <w:rFonts w:cs="Arial"/>
                <w:szCs w:val="20"/>
              </w:rPr>
              <w:t xml:space="preserve"> than </w:t>
            </w:r>
            <w:r>
              <w:rPr>
                <w:rFonts w:cs="Arial"/>
                <w:szCs w:val="20"/>
              </w:rPr>
              <w:t>20</w:t>
            </w:r>
            <w:r w:rsidRPr="00386A49">
              <w:rPr>
                <w:rFonts w:cs="Arial"/>
                <w:szCs w:val="20"/>
              </w:rPr>
              <w:t>%.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92A30" w:rsidRPr="005A3A6F" w:rsidRDefault="00892A30" w:rsidP="003C3BF6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892A30" w:rsidRPr="002C79EE" w:rsidTr="00892A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92A30" w:rsidRDefault="00892A30" w:rsidP="00D512A4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Setbacks</w:t>
            </w:r>
          </w:p>
        </w:tc>
      </w:tr>
      <w:tr w:rsidR="00892A30" w:rsidRPr="005A77FA" w:rsidTr="0089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92A30" w:rsidRPr="00FC5724" w:rsidRDefault="00892A30" w:rsidP="00D512A4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3</w:t>
            </w:r>
          </w:p>
          <w:p w:rsidR="00892A30" w:rsidRPr="00FC5724" w:rsidRDefault="00892A30" w:rsidP="00D512A4">
            <w:pPr>
              <w:keepNext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The setback of b</w:t>
            </w:r>
            <w:r w:rsidRPr="00FC5724">
              <w:rPr>
                <w:rFonts w:cs="Arial"/>
                <w:szCs w:val="20"/>
              </w:rPr>
              <w:t>uildings and structures:</w:t>
            </w:r>
          </w:p>
          <w:p w:rsidR="00892A30" w:rsidRPr="00FC5724" w:rsidRDefault="00892A30" w:rsidP="00787D38">
            <w:pPr>
              <w:keepNext/>
              <w:ind w:left="426" w:hanging="426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</w:t>
            </w:r>
            <w:r w:rsidRPr="00FC5724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)</w:t>
            </w:r>
            <w:r w:rsidRPr="00FC5724">
              <w:rPr>
                <w:rFonts w:cs="Arial"/>
                <w:szCs w:val="20"/>
              </w:rPr>
              <w:tab/>
              <w:t>maintain</w:t>
            </w:r>
            <w:r>
              <w:rPr>
                <w:rFonts w:cs="Arial"/>
                <w:szCs w:val="20"/>
              </w:rPr>
              <w:t>s</w:t>
            </w:r>
            <w:r w:rsidRPr="00FC5724">
              <w:rPr>
                <w:rFonts w:cs="Arial"/>
                <w:szCs w:val="20"/>
              </w:rPr>
              <w:t xml:space="preserve"> the </w:t>
            </w:r>
            <w:r>
              <w:rPr>
                <w:rFonts w:cs="Arial"/>
                <w:szCs w:val="20"/>
              </w:rPr>
              <w:t xml:space="preserve">amenity of adjoining premises and </w:t>
            </w:r>
            <w:r w:rsidRPr="00BA58C4">
              <w:rPr>
                <w:rFonts w:cs="Arial"/>
                <w:szCs w:val="20"/>
              </w:rPr>
              <w:t>the rural residential</w:t>
            </w:r>
            <w:r w:rsidRPr="00FC5724">
              <w:rPr>
                <w:rFonts w:cs="Arial"/>
                <w:szCs w:val="20"/>
              </w:rPr>
              <w:t xml:space="preserve"> character of the area</w:t>
            </w:r>
            <w:r>
              <w:rPr>
                <w:rFonts w:cs="Arial"/>
                <w:szCs w:val="20"/>
              </w:rPr>
              <w:t>;</w:t>
            </w:r>
          </w:p>
          <w:p w:rsidR="00892A30" w:rsidRPr="00FC5724" w:rsidRDefault="00892A30" w:rsidP="00787D38">
            <w:pPr>
              <w:keepNext/>
              <w:ind w:left="426" w:hanging="426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</w:t>
            </w:r>
            <w:r w:rsidRPr="00FC5724">
              <w:rPr>
                <w:rFonts w:cs="Arial"/>
                <w:szCs w:val="20"/>
              </w:rPr>
              <w:t>b</w:t>
            </w:r>
            <w:r>
              <w:rPr>
                <w:rFonts w:cs="Arial"/>
                <w:szCs w:val="20"/>
              </w:rPr>
              <w:t>)</w:t>
            </w:r>
            <w:r w:rsidRPr="00FC5724">
              <w:rPr>
                <w:rFonts w:cs="Arial"/>
                <w:szCs w:val="20"/>
              </w:rPr>
              <w:tab/>
              <w:t>achieve</w:t>
            </w:r>
            <w:r>
              <w:rPr>
                <w:rFonts w:cs="Arial"/>
                <w:szCs w:val="20"/>
              </w:rPr>
              <w:t>s</w:t>
            </w:r>
            <w:r w:rsidRPr="00FC5724">
              <w:rPr>
                <w:rFonts w:cs="Arial"/>
                <w:szCs w:val="20"/>
              </w:rPr>
              <w:t xml:space="preserve"> separation from neighbouring buildings and frontages.</w:t>
            </w:r>
          </w:p>
        </w:tc>
        <w:tc>
          <w:tcPr>
            <w:tcW w:w="1667" w:type="pct"/>
          </w:tcPr>
          <w:p w:rsidR="00892A30" w:rsidRPr="00FC5724" w:rsidRDefault="00892A30" w:rsidP="00D512A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3.1</w:t>
            </w:r>
          </w:p>
          <w:p w:rsidR="00892A30" w:rsidRPr="00C213F9" w:rsidRDefault="00892A30" w:rsidP="00D512A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C213F9">
              <w:rPr>
                <w:rFonts w:cs="Arial"/>
                <w:szCs w:val="20"/>
              </w:rPr>
              <w:t xml:space="preserve">Buildings </w:t>
            </w:r>
            <w:r>
              <w:rPr>
                <w:rFonts w:cs="Arial"/>
                <w:szCs w:val="20"/>
              </w:rPr>
              <w:t xml:space="preserve">and structures </w:t>
            </w:r>
            <w:r w:rsidRPr="00C213F9">
              <w:rPr>
                <w:rFonts w:cs="Arial"/>
                <w:szCs w:val="20"/>
              </w:rPr>
              <w:t>are set back not less than:</w:t>
            </w:r>
          </w:p>
          <w:p w:rsidR="00892A30" w:rsidRPr="00C213F9" w:rsidRDefault="00892A30" w:rsidP="003425EB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</w:r>
            <w:r w:rsidRPr="00C213F9">
              <w:rPr>
                <w:rFonts w:cs="Arial"/>
                <w:szCs w:val="20"/>
              </w:rPr>
              <w:t>10 metres from the frontage to a State</w:t>
            </w:r>
            <w:r>
              <w:rPr>
                <w:rFonts w:cs="Arial"/>
                <w:szCs w:val="20"/>
              </w:rPr>
              <w:t xml:space="preserve"> c</w:t>
            </w:r>
            <w:r w:rsidRPr="00C213F9">
              <w:rPr>
                <w:rFonts w:cs="Arial"/>
                <w:szCs w:val="20"/>
              </w:rPr>
              <w:t xml:space="preserve">ontrolled </w:t>
            </w:r>
            <w:r>
              <w:rPr>
                <w:rFonts w:cs="Arial"/>
                <w:szCs w:val="20"/>
              </w:rPr>
              <w:t>r</w:t>
            </w:r>
            <w:r w:rsidRPr="00C213F9">
              <w:rPr>
                <w:rFonts w:cs="Arial"/>
                <w:szCs w:val="20"/>
              </w:rPr>
              <w:t>oad, Major</w:t>
            </w:r>
            <w:r>
              <w:rPr>
                <w:rFonts w:cs="Arial"/>
                <w:szCs w:val="20"/>
              </w:rPr>
              <w:t xml:space="preserve"> r</w:t>
            </w:r>
            <w:r w:rsidRPr="00C213F9">
              <w:rPr>
                <w:rFonts w:cs="Arial"/>
                <w:szCs w:val="20"/>
              </w:rPr>
              <w:t xml:space="preserve">ural </w:t>
            </w:r>
            <w:r>
              <w:rPr>
                <w:rFonts w:cs="Arial"/>
                <w:szCs w:val="20"/>
              </w:rPr>
              <w:t>r</w:t>
            </w:r>
            <w:r w:rsidRPr="00C213F9">
              <w:rPr>
                <w:rFonts w:cs="Arial"/>
                <w:szCs w:val="20"/>
              </w:rPr>
              <w:t>oad or Sub</w:t>
            </w:r>
            <w:r>
              <w:rPr>
                <w:rFonts w:cs="Arial"/>
                <w:szCs w:val="20"/>
              </w:rPr>
              <w:t>-a</w:t>
            </w:r>
            <w:r w:rsidRPr="00C213F9">
              <w:rPr>
                <w:rFonts w:cs="Arial"/>
                <w:szCs w:val="20"/>
              </w:rPr>
              <w:t xml:space="preserve">rterial </w:t>
            </w:r>
            <w:r>
              <w:rPr>
                <w:rFonts w:cs="Arial"/>
                <w:szCs w:val="20"/>
              </w:rPr>
              <w:t>r</w:t>
            </w:r>
            <w:r w:rsidRPr="00C213F9">
              <w:rPr>
                <w:rFonts w:cs="Arial"/>
                <w:szCs w:val="20"/>
              </w:rPr>
              <w:t>oad;</w:t>
            </w:r>
          </w:p>
          <w:p w:rsidR="00892A30" w:rsidRPr="00C213F9" w:rsidRDefault="00892A30" w:rsidP="003425EB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</w:r>
            <w:r w:rsidRPr="00C213F9">
              <w:rPr>
                <w:rFonts w:cs="Arial"/>
                <w:szCs w:val="20"/>
              </w:rPr>
              <w:t>6 metres from the frontage to any other road;</w:t>
            </w:r>
          </w:p>
          <w:p w:rsidR="00892A30" w:rsidRPr="00FC5724" w:rsidRDefault="00892A30" w:rsidP="003425EB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(c)</w:t>
            </w:r>
            <w:r>
              <w:rPr>
                <w:rFonts w:cs="Arial"/>
                <w:szCs w:val="20"/>
              </w:rPr>
              <w:tab/>
              <w:t>6</w:t>
            </w:r>
            <w:r w:rsidRPr="00C213F9">
              <w:rPr>
                <w:rFonts w:cs="Arial"/>
                <w:szCs w:val="20"/>
              </w:rPr>
              <w:t xml:space="preserve"> metres from the side and rear boundaries of</w:t>
            </w:r>
            <w:r>
              <w:rPr>
                <w:rFonts w:cs="Arial"/>
                <w:szCs w:val="20"/>
              </w:rPr>
              <w:t xml:space="preserve"> </w:t>
            </w:r>
            <w:r w:rsidRPr="00C213F9">
              <w:rPr>
                <w:rFonts w:cs="Arial"/>
                <w:szCs w:val="20"/>
              </w:rPr>
              <w:t>the 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92A30" w:rsidRPr="00FC5724" w:rsidRDefault="00892A30" w:rsidP="00D512A4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892A30" w:rsidRPr="002C79EE" w:rsidTr="00892A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92A30" w:rsidRDefault="00892A30" w:rsidP="00B127AC">
            <w:pPr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892A30" w:rsidRPr="002C79EE" w:rsidTr="0089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92A30" w:rsidRDefault="00892A30" w:rsidP="00B127AC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Uses and other development</w:t>
            </w:r>
          </w:p>
        </w:tc>
      </w:tr>
      <w:tr w:rsidR="00892A30" w:rsidRPr="005A77FA" w:rsidTr="00892A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92A30" w:rsidRPr="00BA58C4" w:rsidRDefault="00892A30" w:rsidP="00B127AC">
            <w:pPr>
              <w:rPr>
                <w:rFonts w:cs="Arial"/>
                <w:b/>
                <w:szCs w:val="20"/>
              </w:rPr>
            </w:pPr>
            <w:r w:rsidRPr="00BA58C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4</w:t>
            </w:r>
          </w:p>
          <w:p w:rsidR="00892A30" w:rsidRPr="00BA58C4" w:rsidRDefault="00892A30" w:rsidP="00B127AC">
            <w:pPr>
              <w:rPr>
                <w:rFonts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892A30" w:rsidRPr="00BA58C4" w:rsidRDefault="00892A30" w:rsidP="00B1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BA58C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4.1</w:t>
            </w:r>
          </w:p>
          <w:p w:rsidR="00892A30" w:rsidRPr="00BA58C4" w:rsidRDefault="00892A30" w:rsidP="00C25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92A30" w:rsidRPr="00BA58C4" w:rsidRDefault="00892A30" w:rsidP="00B127AC">
            <w:pPr>
              <w:rPr>
                <w:rFonts w:cs="Arial"/>
                <w:b/>
                <w:szCs w:val="20"/>
              </w:rPr>
            </w:pPr>
          </w:p>
        </w:tc>
      </w:tr>
      <w:tr w:rsidR="00892A30" w:rsidRPr="002C79EE" w:rsidTr="0089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92A30" w:rsidRDefault="00892A30" w:rsidP="00B127AC">
            <w:pPr>
              <w:rPr>
                <w:rStyle w:val="Strong"/>
              </w:rPr>
            </w:pPr>
            <w:r>
              <w:rPr>
                <w:rStyle w:val="Strong"/>
              </w:rPr>
              <w:t>Site constraints</w:t>
            </w:r>
          </w:p>
        </w:tc>
      </w:tr>
      <w:tr w:rsidR="00892A30" w:rsidRPr="005A77FA" w:rsidTr="00892A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92A30" w:rsidRPr="00FC5724" w:rsidRDefault="00892A30" w:rsidP="00B127AC">
            <w:pPr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892A30" w:rsidRPr="00666E8C" w:rsidRDefault="00892A30" w:rsidP="00586B8C"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892A30" w:rsidRPr="00666E8C" w:rsidRDefault="00892A30" w:rsidP="00586B8C"/>
          <w:p w:rsidR="00892A30" w:rsidRPr="00344B37" w:rsidRDefault="00892A30" w:rsidP="00CC1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 – </w:t>
            </w:r>
            <w:r w:rsidRPr="00666E8C">
              <w:rPr>
                <w:sz w:val="16"/>
                <w:szCs w:val="16"/>
              </w:rPr>
              <w:t>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constraints of a site and its surrounds.</w:t>
            </w:r>
          </w:p>
        </w:tc>
        <w:tc>
          <w:tcPr>
            <w:tcW w:w="1667" w:type="pct"/>
          </w:tcPr>
          <w:p w:rsidR="00892A30" w:rsidRPr="00FC5724" w:rsidRDefault="00892A30" w:rsidP="00B1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892A30" w:rsidRPr="00FC5724" w:rsidRDefault="00892A30" w:rsidP="00D51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92A30" w:rsidRPr="00FC5724" w:rsidRDefault="00892A30" w:rsidP="00B127AC">
            <w:pPr>
              <w:rPr>
                <w:rFonts w:cs="Arial"/>
                <w:b/>
                <w:szCs w:val="20"/>
              </w:rPr>
            </w:pPr>
          </w:p>
        </w:tc>
      </w:tr>
      <w:tr w:rsidR="00892A30" w:rsidRPr="002C79EE" w:rsidTr="0089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92A30" w:rsidRDefault="00892A30" w:rsidP="00B127AC">
            <w:pPr>
              <w:rPr>
                <w:rStyle w:val="Strong"/>
              </w:rPr>
            </w:pPr>
            <w:r>
              <w:rPr>
                <w:rStyle w:val="Strong"/>
              </w:rPr>
              <w:t>Amenity</w:t>
            </w:r>
          </w:p>
        </w:tc>
      </w:tr>
      <w:tr w:rsidR="00892A30" w:rsidRPr="005A77FA" w:rsidTr="00892A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92A30" w:rsidRPr="005A3A6F" w:rsidRDefault="00892A30" w:rsidP="00B127AC">
            <w:pPr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892A30" w:rsidRPr="0009716C" w:rsidRDefault="00892A30" w:rsidP="00B127AC">
            <w:pPr>
              <w:rPr>
                <w:rFonts w:cs="Arial"/>
                <w:szCs w:val="20"/>
                <w:highlight w:val="lightGray"/>
              </w:rPr>
            </w:pPr>
            <w:r w:rsidRPr="0009716C">
              <w:rPr>
                <w:rFonts w:cs="Arial"/>
                <w:szCs w:val="20"/>
              </w:rPr>
              <w:t>Development does not adve</w:t>
            </w:r>
            <w:r>
              <w:rPr>
                <w:rFonts w:cs="Arial"/>
                <w:szCs w:val="20"/>
              </w:rPr>
              <w:t xml:space="preserve">rsely affect the </w:t>
            </w:r>
            <w:r w:rsidRPr="00007D87">
              <w:rPr>
                <w:rFonts w:cs="Arial"/>
                <w:szCs w:val="20"/>
              </w:rPr>
              <w:t>rural r</w:t>
            </w:r>
            <w:r>
              <w:rPr>
                <w:rFonts w:cs="Arial"/>
                <w:szCs w:val="20"/>
              </w:rPr>
              <w:t xml:space="preserve">esidential character and amenity of the area in terms of </w:t>
            </w:r>
            <w:r w:rsidRPr="00B07F73">
              <w:rPr>
                <w:rFonts w:cs="Arial"/>
                <w:szCs w:val="20"/>
              </w:rPr>
              <w:t>traffic, noise, dus</w:t>
            </w:r>
            <w:r>
              <w:rPr>
                <w:rFonts w:cs="Arial"/>
                <w:szCs w:val="20"/>
              </w:rPr>
              <w:t xml:space="preserve">t, odour, lighting or </w:t>
            </w:r>
            <w:r w:rsidRPr="00B07F73">
              <w:rPr>
                <w:rFonts w:cs="Arial"/>
                <w:szCs w:val="20"/>
              </w:rPr>
              <w:t xml:space="preserve">other </w:t>
            </w:r>
            <w:r>
              <w:rPr>
                <w:rFonts w:cs="Arial"/>
                <w:szCs w:val="20"/>
              </w:rPr>
              <w:t xml:space="preserve">physical or environmental </w:t>
            </w:r>
            <w:r w:rsidRPr="00B07F73">
              <w:rPr>
                <w:rFonts w:cs="Arial"/>
                <w:szCs w:val="20"/>
              </w:rPr>
              <w:t>impacts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892A30" w:rsidRPr="005A3A6F" w:rsidRDefault="00892A30" w:rsidP="00B1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6.1</w:t>
            </w:r>
          </w:p>
          <w:p w:rsidR="00892A30" w:rsidRPr="0009716C" w:rsidRDefault="00892A30" w:rsidP="00D51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18"/>
                <w:szCs w:val="20"/>
                <w:highlight w:val="lightGray"/>
                <w:lang w:eastAsia="en-AU"/>
              </w:rPr>
            </w:pPr>
            <w:r>
              <w:t>No acceptable outcomes are provided</w:t>
            </w:r>
            <w:r w:rsidRPr="000F3FCD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92A30" w:rsidRPr="005A3A6F" w:rsidRDefault="00892A30" w:rsidP="00B127AC">
            <w:pPr>
              <w:rPr>
                <w:rFonts w:cs="Arial"/>
                <w:b/>
                <w:szCs w:val="20"/>
              </w:rPr>
            </w:pPr>
          </w:p>
        </w:tc>
      </w:tr>
    </w:tbl>
    <w:p w:rsidR="00E16D4C" w:rsidRDefault="00892A30" w:rsidP="00892A30">
      <w:pPr>
        <w:pStyle w:val="Heading3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E16D4C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20" w:rsidRDefault="004D2F20">
      <w:pPr>
        <w:spacing w:after="0" w:line="240" w:lineRule="auto"/>
      </w:pPr>
      <w:r>
        <w:separator/>
      </w:r>
    </w:p>
  </w:endnote>
  <w:endnote w:type="continuationSeparator" w:id="0">
    <w:p w:rsidR="004D2F20" w:rsidRDefault="004D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422975EA" wp14:editId="4B9D616E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6FAFA77A" wp14:editId="40B8F073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207BE8" w:rsidRDefault="00107CB9" w:rsidP="00207BE8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892A30" w:rsidRPr="00892A30">
              <w:rPr>
                <w:color w:val="0064A7"/>
                <w:sz w:val="16"/>
                <w:szCs w:val="16"/>
              </w:rPr>
              <w:t>6.2.18</w:t>
            </w:r>
            <w:r w:rsidR="00892A30" w:rsidRPr="00892A30">
              <w:rPr>
                <w:color w:val="0064A7"/>
                <w:sz w:val="16"/>
                <w:szCs w:val="16"/>
              </w:rPr>
              <w:tab/>
            </w:r>
            <w:r w:rsidR="00892A30">
              <w:rPr>
                <w:color w:val="0064A7"/>
                <w:sz w:val="16"/>
                <w:szCs w:val="16"/>
              </w:rPr>
              <w:t xml:space="preserve"> </w:t>
            </w:r>
            <w:r w:rsidR="00892A30" w:rsidRPr="00892A30">
              <w:rPr>
                <w:color w:val="0064A7"/>
                <w:sz w:val="16"/>
                <w:szCs w:val="16"/>
              </w:rPr>
              <w:t>Rural residential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="00B81B2C">
              <w:rPr>
                <w:color w:val="0064A7"/>
                <w:sz w:val="16"/>
                <w:szCs w:val="16"/>
              </w:rPr>
              <w:t xml:space="preserve">                               </w:t>
            </w:r>
            <w:r w:rsidR="00207BE8">
              <w:rPr>
                <w:color w:val="0064A7"/>
                <w:sz w:val="16"/>
                <w:szCs w:val="16"/>
              </w:rPr>
              <w:t xml:space="preserve">  </w:t>
            </w:r>
            <w:r w:rsidR="00F63A85">
              <w:rPr>
                <w:color w:val="0064A7"/>
                <w:sz w:val="16"/>
                <w:szCs w:val="16"/>
              </w:rPr>
              <w:t xml:space="preserve">     CairnsPlan 2016 Version 2.1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F63A85">
              <w:rPr>
                <w:noProof/>
                <w:color w:val="0064A7"/>
                <w:sz w:val="16"/>
                <w:szCs w:val="16"/>
              </w:rPr>
              <w:t>2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F63A85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20" w:rsidRDefault="004D2F20">
      <w:pPr>
        <w:spacing w:after="0" w:line="240" w:lineRule="auto"/>
      </w:pPr>
      <w:r>
        <w:separator/>
      </w:r>
    </w:p>
  </w:footnote>
  <w:footnote w:type="continuationSeparator" w:id="0">
    <w:p w:rsidR="004D2F20" w:rsidRDefault="004D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73C743E2" wp14:editId="3E843D66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7234351D" wp14:editId="57E6892D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E9BEB05C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07BE8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65DDE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D2F20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2A30"/>
    <w:rsid w:val="00893BC0"/>
    <w:rsid w:val="00893EDD"/>
    <w:rsid w:val="008A4569"/>
    <w:rsid w:val="008A516D"/>
    <w:rsid w:val="008A621E"/>
    <w:rsid w:val="008B042D"/>
    <w:rsid w:val="008B1F86"/>
    <w:rsid w:val="008B7990"/>
    <w:rsid w:val="008B79D4"/>
    <w:rsid w:val="008C00B2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81B2C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47319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A85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DEB46E"/>
  <w15:docId w15:val="{754EEBBD-785B-4E35-9A35-37D8C122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0B815A-3785-40DD-BC2F-C9BFE643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5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2016-02-26T05:12:00Z</dcterms:created>
  <dcterms:modified xsi:type="dcterms:W3CDTF">2019-10-31T23:00:00Z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