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79" w:rsidRPr="005A77FA" w:rsidRDefault="00F53F35" w:rsidP="000B29D3">
      <w:pPr>
        <w:pStyle w:val="Heading3"/>
        <w:numPr>
          <w:ilvl w:val="2"/>
          <w:numId w:val="64"/>
        </w:numPr>
      </w:pPr>
      <w:bookmarkStart w:id="0" w:name="_GoBack"/>
      <w:bookmarkEnd w:id="0"/>
      <w:r>
        <w:t>Conservation zone</w:t>
      </w:r>
      <w:r w:rsidR="00EF2241">
        <w:t xml:space="preserve"> code</w:t>
      </w:r>
    </w:p>
    <w:p w:rsidR="00793D79" w:rsidRPr="005A77FA" w:rsidRDefault="00793D79" w:rsidP="00793D79">
      <w:pPr>
        <w:pStyle w:val="Heading4"/>
      </w:pPr>
      <w:bookmarkStart w:id="1" w:name="_Toc341806787"/>
      <w:r w:rsidRPr="005A77FA">
        <w:t>Application</w:t>
      </w:r>
      <w:bookmarkEnd w:id="1"/>
    </w:p>
    <w:p w:rsidR="00793D79" w:rsidRPr="001A3591" w:rsidRDefault="00793D79" w:rsidP="001A3591">
      <w:pPr>
        <w:pStyle w:val="Reportbodytex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>This code applie</w:t>
      </w:r>
      <w:r w:rsidR="00BA7D36" w:rsidRPr="001A3591">
        <w:rPr>
          <w:sz w:val="20"/>
          <w:szCs w:val="20"/>
        </w:rPr>
        <w:t>s t</w:t>
      </w:r>
      <w:r w:rsidR="00C43435" w:rsidRPr="001A3591">
        <w:rPr>
          <w:sz w:val="20"/>
          <w:szCs w:val="20"/>
        </w:rPr>
        <w:t xml:space="preserve">o assessing development in the </w:t>
      </w:r>
      <w:r w:rsidR="00165359" w:rsidRPr="001A3591">
        <w:rPr>
          <w:sz w:val="20"/>
          <w:szCs w:val="20"/>
        </w:rPr>
        <w:t xml:space="preserve">Conservation </w:t>
      </w:r>
      <w:r w:rsidR="00BA7D36" w:rsidRPr="001A3591">
        <w:rPr>
          <w:sz w:val="20"/>
          <w:szCs w:val="20"/>
        </w:rPr>
        <w:t>zone</w:t>
      </w:r>
      <w:r w:rsidRPr="001A3591">
        <w:rPr>
          <w:sz w:val="20"/>
          <w:szCs w:val="20"/>
        </w:rPr>
        <w:t>.</w:t>
      </w:r>
    </w:p>
    <w:p w:rsidR="00793D79" w:rsidRPr="001A3591" w:rsidRDefault="00793D79" w:rsidP="001A3591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793D79" w:rsidRPr="001A3591" w:rsidRDefault="00793D79" w:rsidP="001A3591">
      <w:pPr>
        <w:pStyle w:val="Reportbodytex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>When using this code, reference should be made to Part 5.</w:t>
      </w:r>
    </w:p>
    <w:p w:rsidR="00793D79" w:rsidRPr="005A77FA" w:rsidRDefault="00793D79" w:rsidP="00793D79">
      <w:pPr>
        <w:pStyle w:val="Heading4"/>
      </w:pPr>
      <w:bookmarkStart w:id="2" w:name="_Toc341806788"/>
      <w:r w:rsidRPr="005A77FA">
        <w:t>Purpose</w:t>
      </w:r>
      <w:bookmarkEnd w:id="2"/>
      <w:r w:rsidRPr="005A77FA">
        <w:t xml:space="preserve"> </w:t>
      </w:r>
    </w:p>
    <w:p w:rsidR="00BA7D36" w:rsidRPr="00024DA7" w:rsidRDefault="00BA7D36" w:rsidP="004848FB">
      <w:pPr>
        <w:pStyle w:val="Reportbodytext"/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024DA7">
        <w:rPr>
          <w:sz w:val="20"/>
          <w:szCs w:val="20"/>
        </w:rPr>
        <w:t xml:space="preserve">The purpose of the </w:t>
      </w:r>
      <w:r>
        <w:rPr>
          <w:sz w:val="20"/>
          <w:szCs w:val="20"/>
        </w:rPr>
        <w:t>C</w:t>
      </w:r>
      <w:r w:rsidRPr="00024DA7">
        <w:rPr>
          <w:sz w:val="20"/>
          <w:szCs w:val="20"/>
        </w:rPr>
        <w:t>onservation zone code is to provide for the protection, restoration and management of areas identified as supporting significant biological diversity and ecological integrity.</w:t>
      </w:r>
      <w:r>
        <w:rPr>
          <w:sz w:val="20"/>
          <w:szCs w:val="20"/>
        </w:rPr>
        <w:t xml:space="preserve"> </w:t>
      </w:r>
    </w:p>
    <w:p w:rsidR="00BA7D36" w:rsidRPr="00024DA7" w:rsidRDefault="00BA7D36" w:rsidP="000646E9">
      <w:pPr>
        <w:pStyle w:val="Reportbodytext"/>
        <w:spacing w:line="276" w:lineRule="auto"/>
        <w:rPr>
          <w:sz w:val="20"/>
          <w:szCs w:val="20"/>
        </w:rPr>
      </w:pPr>
    </w:p>
    <w:p w:rsidR="00BA7D36" w:rsidRDefault="00BA7D36" w:rsidP="004848FB">
      <w:pPr>
        <w:pStyle w:val="Reportbodytext"/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E54C64">
        <w:rPr>
          <w:sz w:val="20"/>
          <w:szCs w:val="20"/>
        </w:rPr>
        <w:t>The local government purpose of the code is</w:t>
      </w:r>
      <w:r>
        <w:rPr>
          <w:sz w:val="20"/>
          <w:szCs w:val="20"/>
        </w:rPr>
        <w:t>:</w:t>
      </w:r>
    </w:p>
    <w:p w:rsidR="00BA7D36" w:rsidRPr="00124AB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Cs w:val="20"/>
        </w:rPr>
      </w:pPr>
      <w:r>
        <w:rPr>
          <w:sz w:val="20"/>
          <w:szCs w:val="20"/>
        </w:rPr>
        <w:t>t</w:t>
      </w:r>
      <w:r w:rsidR="00BA7D36" w:rsidRPr="008D3389">
        <w:rPr>
          <w:sz w:val="20"/>
          <w:szCs w:val="20"/>
        </w:rPr>
        <w:t>o ensure the conservation, protection and restoration of the biological diversity</w:t>
      </w:r>
      <w:r w:rsidR="00090E5A">
        <w:rPr>
          <w:sz w:val="20"/>
          <w:szCs w:val="20"/>
        </w:rPr>
        <w:t>,</w:t>
      </w:r>
      <w:r w:rsidR="00BA7D36" w:rsidRPr="008D3389">
        <w:rPr>
          <w:sz w:val="20"/>
          <w:szCs w:val="20"/>
        </w:rPr>
        <w:t xml:space="preserve"> ecological integrity</w:t>
      </w:r>
      <w:r w:rsidR="00090E5A">
        <w:rPr>
          <w:sz w:val="20"/>
          <w:szCs w:val="20"/>
        </w:rPr>
        <w:t xml:space="preserve"> and scenic amenity</w:t>
      </w:r>
      <w:r w:rsidR="00BA7D36" w:rsidRPr="008D3389">
        <w:rPr>
          <w:sz w:val="20"/>
          <w:szCs w:val="20"/>
        </w:rPr>
        <w:t xml:space="preserve"> values of land</w:t>
      </w:r>
      <w:r w:rsidR="00090E5A">
        <w:rPr>
          <w:sz w:val="20"/>
          <w:szCs w:val="20"/>
        </w:rPr>
        <w:t xml:space="preserve"> and</w:t>
      </w:r>
      <w:r w:rsidR="004F6DFA">
        <w:rPr>
          <w:sz w:val="20"/>
          <w:szCs w:val="20"/>
        </w:rPr>
        <w:t xml:space="preserve"> provide for habitat connectivity</w:t>
      </w:r>
      <w:r w:rsidR="00090E5A">
        <w:rPr>
          <w:sz w:val="20"/>
          <w:szCs w:val="20"/>
        </w:rPr>
        <w:t>;</w:t>
      </w:r>
    </w:p>
    <w:p w:rsidR="00BA7D36" w:rsidRPr="00BA7D36" w:rsidRDefault="003918A6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to recognise that </w:t>
      </w:r>
      <w:r w:rsidR="00CF36CC">
        <w:rPr>
          <w:sz w:val="20"/>
          <w:szCs w:val="20"/>
        </w:rPr>
        <w:t>l</w:t>
      </w:r>
      <w:r w:rsidR="00BA7D36" w:rsidRPr="008D3389">
        <w:rPr>
          <w:sz w:val="20"/>
          <w:szCs w:val="20"/>
        </w:rPr>
        <w:t xml:space="preserve">and within this zone is </w:t>
      </w:r>
      <w:r w:rsidR="00356D9E">
        <w:rPr>
          <w:sz w:val="20"/>
          <w:szCs w:val="20"/>
        </w:rPr>
        <w:t xml:space="preserve">generally </w:t>
      </w:r>
      <w:r w:rsidR="00BA7D36" w:rsidRPr="008D3389">
        <w:rPr>
          <w:sz w:val="20"/>
          <w:szCs w:val="20"/>
        </w:rPr>
        <w:t>not suitable for further development</w:t>
      </w:r>
      <w:r w:rsidR="00BA7D36">
        <w:rPr>
          <w:sz w:val="20"/>
          <w:szCs w:val="20"/>
        </w:rPr>
        <w:t>;</w:t>
      </w:r>
    </w:p>
    <w:p w:rsid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Cs w:val="20"/>
        </w:rPr>
      </w:pPr>
      <w:r>
        <w:rPr>
          <w:sz w:val="20"/>
          <w:szCs w:val="20"/>
        </w:rPr>
        <w:t>t</w:t>
      </w:r>
      <w:r w:rsidR="00BA7D36" w:rsidRPr="008D3389">
        <w:rPr>
          <w:sz w:val="20"/>
          <w:szCs w:val="20"/>
        </w:rPr>
        <w:t xml:space="preserve">o ensure that </w:t>
      </w:r>
      <w:r w:rsidR="00BA7D36">
        <w:rPr>
          <w:sz w:val="20"/>
          <w:szCs w:val="20"/>
        </w:rPr>
        <w:t xml:space="preserve">where </w:t>
      </w:r>
      <w:r w:rsidR="00BA7D36" w:rsidRPr="008D3389">
        <w:rPr>
          <w:sz w:val="20"/>
          <w:szCs w:val="20"/>
        </w:rPr>
        <w:t xml:space="preserve">development </w:t>
      </w:r>
      <w:r w:rsidR="00BA7D36">
        <w:rPr>
          <w:sz w:val="20"/>
          <w:szCs w:val="20"/>
        </w:rPr>
        <w:t xml:space="preserve">does occur </w:t>
      </w:r>
      <w:r w:rsidR="00BA7D36" w:rsidRPr="008D3389">
        <w:rPr>
          <w:sz w:val="20"/>
          <w:szCs w:val="20"/>
        </w:rPr>
        <w:t>in th</w:t>
      </w:r>
      <w:r w:rsidR="00BA7D36">
        <w:rPr>
          <w:sz w:val="20"/>
          <w:szCs w:val="20"/>
        </w:rPr>
        <w:t>e</w:t>
      </w:r>
      <w:r w:rsidR="00BA7D36" w:rsidRPr="008D3389">
        <w:rPr>
          <w:sz w:val="20"/>
          <w:szCs w:val="20"/>
        </w:rPr>
        <w:t xml:space="preserve"> zone</w:t>
      </w:r>
      <w:r w:rsidR="003918A6">
        <w:rPr>
          <w:sz w:val="20"/>
          <w:szCs w:val="20"/>
        </w:rPr>
        <w:t>,</w:t>
      </w:r>
      <w:r w:rsidR="00BA7D36" w:rsidRPr="008D3389">
        <w:rPr>
          <w:sz w:val="20"/>
          <w:szCs w:val="20"/>
        </w:rPr>
        <w:t xml:space="preserve"> </w:t>
      </w:r>
      <w:r w:rsidR="00BA7D36">
        <w:rPr>
          <w:sz w:val="20"/>
          <w:szCs w:val="20"/>
        </w:rPr>
        <w:t xml:space="preserve">it </w:t>
      </w:r>
      <w:r w:rsidR="00BA7D36" w:rsidRPr="008D3389">
        <w:rPr>
          <w:sz w:val="20"/>
          <w:szCs w:val="20"/>
        </w:rPr>
        <w:t>does not adversely affect the</w:t>
      </w:r>
      <w:r w:rsidR="00BA7D36">
        <w:rPr>
          <w:sz w:val="20"/>
          <w:szCs w:val="20"/>
        </w:rPr>
        <w:t xml:space="preserve"> environmental</w:t>
      </w:r>
      <w:r w:rsidR="00BA7D36" w:rsidRPr="008D3389">
        <w:rPr>
          <w:sz w:val="20"/>
          <w:szCs w:val="20"/>
        </w:rPr>
        <w:t xml:space="preserve"> and scenic amenity values of the zone and is in keeping with the natural characteristics of the land</w:t>
      </w:r>
      <w:r w:rsidR="00BA7D36">
        <w:rPr>
          <w:sz w:val="20"/>
          <w:szCs w:val="20"/>
        </w:rPr>
        <w:t>.</w:t>
      </w:r>
      <w:r w:rsidR="00BA7D36" w:rsidRPr="008D3389">
        <w:rPr>
          <w:sz w:val="20"/>
          <w:szCs w:val="20"/>
        </w:rPr>
        <w:t xml:space="preserve"> </w:t>
      </w:r>
    </w:p>
    <w:p w:rsidR="00BA7D36" w:rsidRPr="00024DA7" w:rsidRDefault="00BA7D36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BA7D36" w:rsidRPr="00024DA7" w:rsidRDefault="00BA7D36" w:rsidP="004848FB">
      <w:pPr>
        <w:numPr>
          <w:ilvl w:val="0"/>
          <w:numId w:val="39"/>
        </w:numPr>
        <w:spacing w:after="0"/>
        <w:rPr>
          <w:rFonts w:cs="Arial"/>
          <w:szCs w:val="20"/>
        </w:rPr>
      </w:pPr>
      <w:r w:rsidRPr="00024DA7">
        <w:rPr>
          <w:rFonts w:cs="Arial"/>
          <w:szCs w:val="20"/>
        </w:rPr>
        <w:t>The purpose of the code will be achieved through the following overall outcomes:</w:t>
      </w:r>
    </w:p>
    <w:p w:rsidR="00BA7D36" w:rsidRP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l</w:t>
      </w:r>
      <w:r w:rsidR="00BA7D36" w:rsidRPr="00BA7D36">
        <w:rPr>
          <w:sz w:val="20"/>
          <w:szCs w:val="20"/>
        </w:rPr>
        <w:t xml:space="preserve">and within the Conservation zone is appropriately managed to protect and maintain biological diversity, water quality, ecological functioning, beach protection and coastal management, scenic amenity and historical and cultural values; </w:t>
      </w:r>
    </w:p>
    <w:p w:rsidR="00BA7D36" w:rsidRP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t</w:t>
      </w:r>
      <w:r w:rsidR="00BA7D36" w:rsidRPr="00BA7D36">
        <w:rPr>
          <w:sz w:val="20"/>
          <w:szCs w:val="20"/>
        </w:rPr>
        <w:t xml:space="preserve">he values of the Wet Tropics World Heritage Area are protected; </w:t>
      </w:r>
    </w:p>
    <w:p w:rsidR="00BA7D36" w:rsidRP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d</w:t>
      </w:r>
      <w:r w:rsidR="00BA7D36" w:rsidRPr="00BA7D36">
        <w:rPr>
          <w:sz w:val="20"/>
          <w:szCs w:val="20"/>
        </w:rPr>
        <w:t>evelopment does not occur within the zone, with the exception of low intensity development based on the appreciation of the significant values of the area where a demonstrated need exists;</w:t>
      </w:r>
    </w:p>
    <w:p w:rsidR="00BA7D36" w:rsidRP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a</w:t>
      </w:r>
      <w:r w:rsidR="00BA7D36" w:rsidRPr="00BA7D36">
        <w:rPr>
          <w:sz w:val="20"/>
          <w:szCs w:val="20"/>
        </w:rPr>
        <w:t>reas which form part of the scenic rim are protected from adverse effects of development on their scenic values;</w:t>
      </w:r>
    </w:p>
    <w:p w:rsidR="00BA7D36" w:rsidRP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d</w:t>
      </w:r>
      <w:r w:rsidR="00BA7D36" w:rsidRPr="00BA7D36">
        <w:rPr>
          <w:sz w:val="20"/>
          <w:szCs w:val="20"/>
        </w:rPr>
        <w:t xml:space="preserve">evelopment does not adversely affect the conservation or scenic values of the site or surrounding area; </w:t>
      </w:r>
    </w:p>
    <w:p w:rsidR="00BA7D36" w:rsidRPr="00BA7D36" w:rsidRDefault="00CF36CC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d</w:t>
      </w:r>
      <w:r w:rsidR="00BA7D36" w:rsidRPr="00BA7D36">
        <w:rPr>
          <w:sz w:val="20"/>
          <w:szCs w:val="20"/>
        </w:rPr>
        <w:t xml:space="preserve">evelopment does not adversely affect </w:t>
      </w:r>
      <w:r w:rsidR="007D3832">
        <w:rPr>
          <w:sz w:val="20"/>
          <w:szCs w:val="20"/>
        </w:rPr>
        <w:t>areas of environmental significance on</w:t>
      </w:r>
      <w:r w:rsidR="00BA7D36" w:rsidRPr="00BA7D36">
        <w:rPr>
          <w:sz w:val="20"/>
          <w:szCs w:val="20"/>
        </w:rPr>
        <w:t xml:space="preserve"> the site or surrounding are</w:t>
      </w:r>
      <w:r w:rsidR="003E39DB">
        <w:rPr>
          <w:sz w:val="20"/>
          <w:szCs w:val="20"/>
        </w:rPr>
        <w:t>a;</w:t>
      </w:r>
    </w:p>
    <w:p w:rsidR="00175467" w:rsidRDefault="00BA7D36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 w:rsidRPr="00BA7D36">
        <w:rPr>
          <w:sz w:val="20"/>
          <w:szCs w:val="20"/>
        </w:rPr>
        <w:t>lot reconfiguration, other than amalgamations or boundary realignments to resolve minor, existing encroachments, does not occur</w:t>
      </w:r>
      <w:r w:rsidR="00175467">
        <w:rPr>
          <w:sz w:val="20"/>
          <w:szCs w:val="20"/>
        </w:rPr>
        <w:t>;</w:t>
      </w:r>
    </w:p>
    <w:p w:rsidR="004F6DFA" w:rsidRPr="00175467" w:rsidRDefault="00175467" w:rsidP="004848FB">
      <w:pPr>
        <w:pStyle w:val="Reportbodytext"/>
        <w:numPr>
          <w:ilvl w:val="1"/>
          <w:numId w:val="39"/>
        </w:numPr>
        <w:spacing w:line="276" w:lineRule="auto"/>
        <w:ind w:left="1134" w:hanging="567"/>
        <w:rPr>
          <w:sz w:val="20"/>
          <w:szCs w:val="20"/>
        </w:rPr>
      </w:pPr>
      <w:r w:rsidRPr="000646E9">
        <w:rPr>
          <w:sz w:val="20"/>
          <w:szCs w:val="20"/>
        </w:rPr>
        <w:t xml:space="preserve">development reflects and responds to the natural features and constraints of the land. </w:t>
      </w:r>
    </w:p>
    <w:p w:rsidR="00C6538D" w:rsidRDefault="00C6538D" w:rsidP="000646E9">
      <w:pPr>
        <w:pStyle w:val="Reportbodytext"/>
        <w:ind w:left="1134"/>
        <w:rPr>
          <w:sz w:val="20"/>
          <w:szCs w:val="20"/>
        </w:rPr>
      </w:pPr>
    </w:p>
    <w:p w:rsidR="00A92DD0" w:rsidRDefault="004F6DFA">
      <w:pPr>
        <w:pStyle w:val="Reportbodytext"/>
        <w:rPr>
          <w:sz w:val="16"/>
          <w:szCs w:val="16"/>
        </w:rPr>
      </w:pPr>
      <w:r>
        <w:rPr>
          <w:sz w:val="16"/>
          <w:szCs w:val="16"/>
        </w:rPr>
        <w:t xml:space="preserve">Note </w:t>
      </w:r>
      <w:r w:rsidR="00E305E7">
        <w:rPr>
          <w:sz w:val="16"/>
          <w:szCs w:val="16"/>
        </w:rPr>
        <w:t>–</w:t>
      </w:r>
      <w:r w:rsidRPr="00BC50CA">
        <w:rPr>
          <w:sz w:val="16"/>
          <w:szCs w:val="16"/>
        </w:rPr>
        <w:t xml:space="preserve"> Planning</w:t>
      </w:r>
      <w:r w:rsidR="00E305E7">
        <w:rPr>
          <w:sz w:val="16"/>
          <w:szCs w:val="16"/>
        </w:rPr>
        <w:t xml:space="preserve"> </w:t>
      </w:r>
      <w:r w:rsidRPr="00BC50CA">
        <w:rPr>
          <w:sz w:val="16"/>
          <w:szCs w:val="16"/>
        </w:rPr>
        <w:t xml:space="preserve">scheme policy – </w:t>
      </w:r>
      <w:r>
        <w:rPr>
          <w:sz w:val="16"/>
          <w:szCs w:val="16"/>
        </w:rPr>
        <w:t>Natural are</w:t>
      </w:r>
      <w:r w:rsidR="0032260D">
        <w:rPr>
          <w:sz w:val="16"/>
          <w:szCs w:val="16"/>
        </w:rPr>
        <w:t>a</w:t>
      </w:r>
      <w:r>
        <w:rPr>
          <w:sz w:val="16"/>
          <w:szCs w:val="16"/>
        </w:rPr>
        <w:t>s</w:t>
      </w:r>
      <w:r w:rsidRPr="00BC50CA">
        <w:rPr>
          <w:sz w:val="16"/>
          <w:szCs w:val="16"/>
        </w:rPr>
        <w:t xml:space="preserve"> provides further guidance on meeting </w:t>
      </w:r>
      <w:r>
        <w:rPr>
          <w:sz w:val="16"/>
          <w:szCs w:val="16"/>
        </w:rPr>
        <w:t>the overall outcomes</w:t>
      </w:r>
      <w:r w:rsidR="003918A6">
        <w:rPr>
          <w:sz w:val="16"/>
          <w:szCs w:val="16"/>
        </w:rPr>
        <w:t>.</w:t>
      </w:r>
    </w:p>
    <w:p w:rsidR="00A92DD0" w:rsidRDefault="00A92DD0">
      <w:pPr>
        <w:rPr>
          <w:rFonts w:ascii="Arial" w:hAnsi="Arial" w:cs="Arial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793D79" w:rsidRPr="005A77FA" w:rsidRDefault="00065413" w:rsidP="00793D79">
      <w:pPr>
        <w:pStyle w:val="Heading4"/>
      </w:pPr>
      <w:r>
        <w:rPr>
          <w:rFonts w:ascii="Arial" w:eastAsia="Times New Roman" w:hAnsi="Arial" w:cs="Arial"/>
          <w:szCs w:val="20"/>
        </w:rPr>
        <w:lastRenderedPageBreak/>
        <w:t>Criteria for a</w:t>
      </w:r>
      <w:bookmarkStart w:id="3" w:name="_Toc341806789"/>
      <w:r w:rsidR="00793D79" w:rsidRPr="005A77FA">
        <w:t>ssessment</w:t>
      </w:r>
      <w:bookmarkEnd w:id="3"/>
    </w:p>
    <w:p w:rsidR="00793D79" w:rsidRPr="005A77FA" w:rsidRDefault="00793D79" w:rsidP="00006B99">
      <w:pPr>
        <w:rPr>
          <w:rFonts w:eastAsia="Times New Roman"/>
        </w:rPr>
      </w:pPr>
      <w:r w:rsidRPr="005A77FA">
        <w:rPr>
          <w:rFonts w:eastAsia="Times New Roman"/>
        </w:rPr>
        <w:t>Part A - Criteria for assessable development</w:t>
      </w:r>
    </w:p>
    <w:p w:rsidR="00793D79" w:rsidRPr="00006B99" w:rsidRDefault="00793D79" w:rsidP="00793D79">
      <w:pPr>
        <w:pStyle w:val="Caption"/>
        <w:rPr>
          <w:szCs w:val="20"/>
        </w:rPr>
      </w:pPr>
      <w:bookmarkStart w:id="4" w:name="_Toc341806734"/>
      <w:r w:rsidRPr="00006B99">
        <w:rPr>
          <w:szCs w:val="20"/>
        </w:rPr>
        <w:t xml:space="preserve">Table </w:t>
      </w:r>
      <w:r w:rsidR="00D01428">
        <w:rPr>
          <w:szCs w:val="20"/>
        </w:rPr>
        <w:fldChar w:fldCharType="begin"/>
      </w:r>
      <w:r w:rsidR="00D01428">
        <w:rPr>
          <w:szCs w:val="20"/>
        </w:rPr>
        <w:instrText xml:space="preserve"> STYLEREF 4 \s </w:instrText>
      </w:r>
      <w:r w:rsidR="00D01428">
        <w:rPr>
          <w:szCs w:val="20"/>
        </w:rPr>
        <w:fldChar w:fldCharType="separate"/>
      </w:r>
      <w:r w:rsidR="00CF44F9">
        <w:rPr>
          <w:noProof/>
          <w:szCs w:val="20"/>
        </w:rPr>
        <w:t>6.2.2.3</w:t>
      </w:r>
      <w:r w:rsidR="00D01428">
        <w:rPr>
          <w:szCs w:val="20"/>
        </w:rPr>
        <w:fldChar w:fldCharType="end"/>
      </w:r>
      <w:r w:rsidR="00D01428">
        <w:rPr>
          <w:szCs w:val="20"/>
        </w:rPr>
        <w:t>.</w:t>
      </w:r>
      <w:r w:rsidR="00C52222">
        <w:rPr>
          <w:szCs w:val="20"/>
        </w:rPr>
        <w:t>a</w:t>
      </w:r>
      <w:r w:rsidRPr="00006B99">
        <w:rPr>
          <w:szCs w:val="20"/>
        </w:rPr>
        <w:t xml:space="preserve"> </w:t>
      </w:r>
      <w:r w:rsidR="00C43435">
        <w:rPr>
          <w:szCs w:val="20"/>
        </w:rPr>
        <w:t>– Conservation zone</w:t>
      </w:r>
      <w:r w:rsidRPr="00006B99">
        <w:rPr>
          <w:szCs w:val="20"/>
        </w:rPr>
        <w:t xml:space="preserve"> </w:t>
      </w:r>
      <w:r w:rsidR="00C86856">
        <w:rPr>
          <w:szCs w:val="20"/>
        </w:rPr>
        <w:t xml:space="preserve">code </w:t>
      </w:r>
      <w:r w:rsidR="00165359">
        <w:rPr>
          <w:szCs w:val="20"/>
        </w:rPr>
        <w:t xml:space="preserve">– </w:t>
      </w:r>
      <w:r w:rsidRPr="00006B99">
        <w:rPr>
          <w:szCs w:val="20"/>
        </w:rPr>
        <w:t>assessable development</w:t>
      </w:r>
      <w:bookmarkEnd w:id="4"/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0B29D3" w:rsidRPr="005A77FA" w:rsidTr="000B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B29D3" w:rsidRPr="005A77FA" w:rsidRDefault="000B29D3" w:rsidP="00546B5D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B29D3" w:rsidRPr="005A77FA" w:rsidRDefault="000B29D3" w:rsidP="00546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B29D3" w:rsidRPr="005A77FA" w:rsidRDefault="000B29D3" w:rsidP="00546B5D">
            <w:r>
              <w:t>Applicant response</w:t>
            </w:r>
          </w:p>
        </w:tc>
      </w:tr>
      <w:tr w:rsidR="000B29D3" w:rsidRPr="00621988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Pr="00621988" w:rsidRDefault="000B29D3" w:rsidP="00136662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0B29D3" w:rsidRPr="002C79EE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Pr="002C79EE" w:rsidRDefault="000B29D3" w:rsidP="00136662">
            <w:pPr>
              <w:rPr>
                <w:rStyle w:val="Strong"/>
              </w:rPr>
            </w:pPr>
            <w:r w:rsidRPr="002C79EE">
              <w:rPr>
                <w:rStyle w:val="Strong"/>
              </w:rPr>
              <w:t>Height</w:t>
            </w: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Pr="00280BED" w:rsidRDefault="000B29D3" w:rsidP="00136662">
            <w:pPr>
              <w:rPr>
                <w:rFonts w:eastAsia="Calibri" w:cs="Arial"/>
                <w:szCs w:val="20"/>
              </w:rPr>
            </w:pPr>
            <w:r w:rsidRPr="00280BED">
              <w:rPr>
                <w:rFonts w:eastAsia="Calibri" w:cs="Arial"/>
                <w:b/>
                <w:szCs w:val="20"/>
              </w:rPr>
              <w:t>PO1</w:t>
            </w:r>
          </w:p>
          <w:p w:rsidR="000B29D3" w:rsidRDefault="000B29D3" w:rsidP="00136662">
            <w:pPr>
              <w:rPr>
                <w:rFonts w:eastAsia="Calibri" w:cs="Arial"/>
                <w:szCs w:val="20"/>
              </w:rPr>
            </w:pPr>
            <w:r w:rsidRPr="00280BED">
              <w:rPr>
                <w:rFonts w:eastAsia="Calibri" w:cs="Arial"/>
                <w:szCs w:val="20"/>
              </w:rPr>
              <w:t xml:space="preserve">The height of buildings and structures </w:t>
            </w:r>
            <w:r>
              <w:rPr>
                <w:rFonts w:eastAsia="Calibri" w:cs="Arial"/>
                <w:szCs w:val="20"/>
              </w:rPr>
              <w:t>is</w:t>
            </w:r>
            <w:r w:rsidRPr="00280BED">
              <w:rPr>
                <w:rFonts w:eastAsia="Calibri" w:cs="Arial"/>
                <w:szCs w:val="20"/>
              </w:rPr>
              <w:t xml:space="preserve"> compatible with the character of the area and </w:t>
            </w:r>
            <w:r>
              <w:rPr>
                <w:rFonts w:eastAsia="Calibri" w:cs="Arial"/>
                <w:szCs w:val="20"/>
              </w:rPr>
              <w:t xml:space="preserve">does </w:t>
            </w:r>
            <w:r w:rsidRPr="00280BED">
              <w:rPr>
                <w:rFonts w:eastAsia="Calibri" w:cs="Arial"/>
                <w:szCs w:val="20"/>
              </w:rPr>
              <w:t>not adversely affect the amenity of the area.</w:t>
            </w:r>
          </w:p>
          <w:p w:rsidR="000B29D3" w:rsidRDefault="000B29D3" w:rsidP="00136662">
            <w:pPr>
              <w:rPr>
                <w:rFonts w:eastAsia="Calibri" w:cs="Arial"/>
                <w:szCs w:val="20"/>
              </w:rPr>
            </w:pPr>
          </w:p>
          <w:p w:rsidR="000B29D3" w:rsidRDefault="000B29D3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0B29D3" w:rsidRDefault="000B29D3" w:rsidP="00E305E7">
            <w:pPr>
              <w:rPr>
                <w:sz w:val="16"/>
                <w:szCs w:val="16"/>
              </w:rPr>
            </w:pPr>
          </w:p>
          <w:p w:rsidR="000B29D3" w:rsidRPr="002A413D" w:rsidRDefault="000B29D3" w:rsidP="00A93BE3">
            <w:pPr>
              <w:rPr>
                <w:rFonts w:cs="Arial"/>
                <w:b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0B29D3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AO1.1</w:t>
            </w:r>
          </w:p>
          <w:p w:rsidR="000B29D3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Buildings and structures are not more than 8.5 metres and 2 storeys in height.</w:t>
            </w:r>
          </w:p>
          <w:p w:rsidR="000B29D3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0B29D3" w:rsidRPr="00E305E7" w:rsidRDefault="000B29D3" w:rsidP="00E3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</w:p>
        </w:tc>
      </w:tr>
      <w:tr w:rsidR="000B29D3" w:rsidRPr="002C79EE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Pr="002C79EE" w:rsidRDefault="000B29D3" w:rsidP="00136662">
            <w:pPr>
              <w:keepNext/>
              <w:rPr>
                <w:rStyle w:val="Strong"/>
              </w:rPr>
            </w:pPr>
            <w:r w:rsidRPr="002C79EE">
              <w:rPr>
                <w:rStyle w:val="Strong"/>
              </w:rPr>
              <w:t>Setback</w:t>
            </w:r>
            <w:r>
              <w:rPr>
                <w:rStyle w:val="Strong"/>
              </w:rPr>
              <w:t>s</w:t>
            </w: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PO2</w:t>
            </w:r>
          </w:p>
          <w:p w:rsidR="000B29D3" w:rsidRPr="002A413D" w:rsidRDefault="000B29D3" w:rsidP="00136662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Buildings and structures are set back from the boundaries of the site to maintain the character and amenity of the area.</w:t>
            </w:r>
          </w:p>
        </w:tc>
        <w:tc>
          <w:tcPr>
            <w:tcW w:w="1667" w:type="pct"/>
          </w:tcPr>
          <w:p w:rsidR="000B29D3" w:rsidRDefault="000B29D3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AO2.1</w:t>
            </w:r>
          </w:p>
          <w:p w:rsidR="000B29D3" w:rsidRDefault="000B29D3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Buildings and structures are set back not less than: </w:t>
            </w:r>
          </w:p>
          <w:p w:rsidR="000B29D3" w:rsidRDefault="000B29D3" w:rsidP="00136662">
            <w:pPr>
              <w:keepNext/>
              <w:ind w:left="485" w:hanging="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 xml:space="preserve">40 metres from the frontage to a state controlled road; </w:t>
            </w:r>
          </w:p>
          <w:p w:rsidR="000B29D3" w:rsidRDefault="000B29D3" w:rsidP="00136662">
            <w:pPr>
              <w:keepNext/>
              <w:ind w:left="485" w:hanging="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 xml:space="preserve">20 metres from the frontage to any other road; </w:t>
            </w:r>
          </w:p>
          <w:p w:rsidR="000B29D3" w:rsidRPr="002A413D" w:rsidRDefault="000B29D3" w:rsidP="00136662">
            <w:pPr>
              <w:keepNext/>
              <w:ind w:left="485" w:hanging="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  <w:t>10 metres from the side and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B29D3" w:rsidRPr="002C79EE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Default="000B29D3" w:rsidP="00136662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Pr="006F6F35" w:rsidRDefault="000B29D3" w:rsidP="00136662">
            <w:pPr>
              <w:rPr>
                <w:rFonts w:cs="Arial"/>
                <w:b/>
                <w:szCs w:val="20"/>
              </w:rPr>
            </w:pPr>
            <w:r w:rsidRPr="006F6F35">
              <w:rPr>
                <w:rFonts w:cs="Arial"/>
                <w:b/>
                <w:szCs w:val="20"/>
              </w:rPr>
              <w:t>PO3</w:t>
            </w:r>
          </w:p>
          <w:p w:rsidR="000B29D3" w:rsidRDefault="000B29D3" w:rsidP="00136662">
            <w:pPr>
              <w:rPr>
                <w:rFonts w:cs="Arial"/>
                <w:b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0B29D3" w:rsidRPr="006F6F35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6F35">
              <w:rPr>
                <w:b/>
              </w:rPr>
              <w:t>AO3</w:t>
            </w:r>
            <w:r>
              <w:rPr>
                <w:b/>
              </w:rPr>
              <w:t>.1</w:t>
            </w:r>
          </w:p>
          <w:p w:rsidR="000B29D3" w:rsidRPr="006F6F35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413D">
              <w:rPr>
                <w:rFonts w:cs="Arial"/>
                <w:szCs w:val="20"/>
              </w:rPr>
              <w:t>No acceptable outcome</w:t>
            </w:r>
            <w:r>
              <w:rPr>
                <w:rFonts w:cs="Arial"/>
                <w:szCs w:val="20"/>
              </w:rPr>
              <w:t>s are</w:t>
            </w:r>
            <w:r w:rsidRPr="002A413D">
              <w:rPr>
                <w:rFonts w:cs="Arial"/>
                <w:szCs w:val="20"/>
              </w:rPr>
              <w:t xml:space="preserve"> provided.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Pr="006F6F35" w:rsidRDefault="000B29D3" w:rsidP="00136662">
            <w:pPr>
              <w:rPr>
                <w:b/>
              </w:rPr>
            </w:pPr>
          </w:p>
        </w:tc>
      </w:tr>
      <w:tr w:rsidR="000B29D3" w:rsidRPr="005A77FA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Default="000B29D3" w:rsidP="00136662">
            <w:pPr>
              <w:rPr>
                <w:b/>
              </w:rPr>
            </w:pPr>
            <w:r>
              <w:rPr>
                <w:b/>
              </w:rPr>
              <w:t>Site constraints</w:t>
            </w: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Pr="00FC5724" w:rsidRDefault="000B29D3" w:rsidP="00136662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0B29D3" w:rsidRPr="00666E8C" w:rsidRDefault="000B29D3" w:rsidP="00136662">
            <w:r>
              <w:t xml:space="preserve">Development is located, designed, operated and managed to respond to the </w:t>
            </w:r>
            <w:r w:rsidRPr="00666E8C">
              <w:t xml:space="preserve">characteristics, features </w:t>
            </w:r>
            <w:r w:rsidRPr="00666E8C">
              <w:lastRenderedPageBreak/>
              <w:t>and constraints of the site and its surrounds.</w:t>
            </w:r>
          </w:p>
          <w:p w:rsidR="000B29D3" w:rsidRPr="00666E8C" w:rsidRDefault="000B29D3" w:rsidP="00136662"/>
          <w:p w:rsidR="000B29D3" w:rsidRPr="006F6F35" w:rsidRDefault="000B29D3" w:rsidP="00136662">
            <w:pPr>
              <w:rPr>
                <w:rFonts w:cs="Arial"/>
                <w:b/>
                <w:szCs w:val="20"/>
              </w:rPr>
            </w:pPr>
            <w:r>
              <w:rPr>
                <w:sz w:val="16"/>
                <w:szCs w:val="16"/>
              </w:rPr>
              <w:t>Note -</w:t>
            </w:r>
            <w:r w:rsidRPr="00666E8C">
              <w:rPr>
                <w:sz w:val="16"/>
                <w:szCs w:val="16"/>
              </w:rPr>
              <w:t xml:space="preserve"> Planning 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0B29D3" w:rsidRPr="00FC5724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0B29D3" w:rsidRPr="006F6F35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Pr="00FC5724" w:rsidRDefault="000B29D3" w:rsidP="00136662">
            <w:pPr>
              <w:rPr>
                <w:rFonts w:cs="Arial"/>
                <w:b/>
                <w:szCs w:val="20"/>
              </w:rPr>
            </w:pPr>
          </w:p>
        </w:tc>
      </w:tr>
      <w:tr w:rsidR="000B29D3" w:rsidRPr="002C79EE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Default="000B29D3" w:rsidP="00136662">
            <w:pPr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PO5</w:t>
            </w:r>
          </w:p>
          <w:p w:rsidR="000B29D3" w:rsidRPr="00C063FA" w:rsidRDefault="000B29D3" w:rsidP="001366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Development complements, and is subservient to, the surrounding environment and is in keeping with the unique ecological and scenic values of the area. </w:t>
            </w:r>
          </w:p>
        </w:tc>
        <w:tc>
          <w:tcPr>
            <w:tcW w:w="1667" w:type="pct"/>
          </w:tcPr>
          <w:p w:rsidR="000B29D3" w:rsidRPr="003070BB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AO5.1</w:t>
            </w:r>
          </w:p>
          <w:p w:rsidR="000B29D3" w:rsidRPr="00C063FA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exterior finishes and colours of development are non-reflective and complement the colours of the surrounding vegetation and view shed.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</w:p>
        </w:tc>
      </w:tr>
      <w:tr w:rsidR="000B29D3" w:rsidRPr="005A77FA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Pr="00C063FA" w:rsidRDefault="000B29D3" w:rsidP="00CF44F9">
            <w:pPr>
              <w:keepNext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PO6</w:t>
            </w:r>
          </w:p>
          <w:p w:rsidR="000B29D3" w:rsidRDefault="000B29D3" w:rsidP="00CF44F9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Development is screened from view from the boundaries of adjoining premises and roads through appropriate landscaping which ensures the native landscape character of the area dominates. </w:t>
            </w:r>
          </w:p>
          <w:p w:rsidR="000B29D3" w:rsidRDefault="000B29D3" w:rsidP="00CF44F9">
            <w:pPr>
              <w:keepNext/>
              <w:rPr>
                <w:rFonts w:cs="Arial"/>
                <w:szCs w:val="20"/>
              </w:rPr>
            </w:pPr>
          </w:p>
          <w:p w:rsidR="000B29D3" w:rsidRDefault="000B29D3" w:rsidP="00CF44F9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 w:val="16"/>
                <w:szCs w:val="16"/>
              </w:rPr>
              <w:t>Note -</w:t>
            </w:r>
            <w:r w:rsidRPr="00BC50CA">
              <w:rPr>
                <w:rFonts w:cs="Arial"/>
                <w:sz w:val="16"/>
                <w:szCs w:val="16"/>
              </w:rPr>
              <w:t xml:space="preserve"> Planning scheme policy – Landscaping provides further guidance on meeting this Performance Outcome.</w:t>
            </w:r>
          </w:p>
        </w:tc>
        <w:tc>
          <w:tcPr>
            <w:tcW w:w="1667" w:type="pct"/>
          </w:tcPr>
          <w:p w:rsidR="000B29D3" w:rsidRDefault="000B29D3" w:rsidP="00CF44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AO6.1</w:t>
            </w:r>
          </w:p>
          <w:p w:rsidR="000B29D3" w:rsidRPr="003070BB" w:rsidRDefault="000B29D3" w:rsidP="00CF44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CF44F9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Values</w:t>
            </w:r>
          </w:p>
        </w:tc>
      </w:tr>
      <w:tr w:rsidR="000B29D3" w:rsidRPr="005A77FA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PO7</w:t>
            </w:r>
          </w:p>
          <w:p w:rsidR="000B29D3" w:rsidRDefault="000B29D3" w:rsidP="001366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Development is located to: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protect the ecological values of the site and surrounding land;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 xml:space="preserve">maintain the scenic values of the area; 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  <w:t>maintain appropriate setbacks to waterways, watercourses, wetlands and tidal areas, and overland flow paths;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(d)</w:t>
            </w:r>
            <w:r>
              <w:rPr>
                <w:rFonts w:cs="Arial"/>
                <w:szCs w:val="20"/>
              </w:rPr>
              <w:tab/>
              <w:t xml:space="preserve">avoid areas that are vulnerable to natural hazards; 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(e)</w:t>
            </w:r>
            <w:r>
              <w:rPr>
                <w:rFonts w:cs="Arial"/>
                <w:szCs w:val="20"/>
              </w:rPr>
              <w:tab/>
              <w:t>minimise to the greatest extent possible, on-site excavation and filling;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(f)</w:t>
            </w:r>
            <w:r>
              <w:rPr>
                <w:rFonts w:cs="Arial"/>
                <w:szCs w:val="20"/>
              </w:rPr>
              <w:tab/>
              <w:t>provide buffers to cultural, historical or ecological features;</w:t>
            </w:r>
          </w:p>
          <w:p w:rsidR="000B29D3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(g)</w:t>
            </w:r>
            <w:r>
              <w:rPr>
                <w:rFonts w:cs="Arial"/>
                <w:szCs w:val="20"/>
              </w:rPr>
              <w:tab/>
              <w:t>minimise visibility from external sites or public viewing points;</w:t>
            </w:r>
          </w:p>
          <w:p w:rsidR="000B29D3" w:rsidRPr="00182AFA" w:rsidRDefault="000B29D3" w:rsidP="00136662">
            <w:pPr>
              <w:ind w:left="567" w:hanging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(h)</w:t>
            </w:r>
            <w:r>
              <w:rPr>
                <w:rFonts w:cs="Arial"/>
                <w:szCs w:val="20"/>
              </w:rPr>
              <w:tab/>
              <w:t>minimise to the greatest extent possible the loss of native vegetation and fauna habitat.</w:t>
            </w:r>
          </w:p>
        </w:tc>
        <w:tc>
          <w:tcPr>
            <w:tcW w:w="1667" w:type="pct"/>
          </w:tcPr>
          <w:p w:rsidR="000B29D3" w:rsidRDefault="000B29D3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AO7.1</w:t>
            </w:r>
          </w:p>
          <w:p w:rsidR="000B29D3" w:rsidRPr="00182AFA" w:rsidRDefault="000B29D3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lastRenderedPageBreak/>
              <w:t>PO8</w:t>
            </w:r>
          </w:p>
          <w:p w:rsidR="000B29D3" w:rsidRDefault="000B29D3" w:rsidP="00136662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Development does not result in adverse impacts on ecological function or values onsite, on surrounding land or waterways or wetlands.</w:t>
            </w:r>
          </w:p>
        </w:tc>
        <w:tc>
          <w:tcPr>
            <w:tcW w:w="1667" w:type="pct"/>
          </w:tcPr>
          <w:p w:rsidR="000B29D3" w:rsidRDefault="000B29D3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PO8.1</w:t>
            </w:r>
          </w:p>
          <w:p w:rsidR="000B29D3" w:rsidRPr="001A6013" w:rsidRDefault="000B29D3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No acceptable outcomes are 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B29D3" w:rsidRPr="005A77FA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PO9</w:t>
            </w:r>
          </w:p>
          <w:p w:rsidR="000B29D3" w:rsidRDefault="000B29D3" w:rsidP="00136662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Rehabilitation of natural processes on disturbed sites is undertaken to improve the environmental integrity of the area.</w:t>
            </w:r>
          </w:p>
        </w:tc>
        <w:tc>
          <w:tcPr>
            <w:tcW w:w="1667" w:type="pct"/>
          </w:tcPr>
          <w:p w:rsidR="000B29D3" w:rsidRDefault="000B29D3" w:rsidP="0013666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AO9.1</w:t>
            </w:r>
          </w:p>
          <w:p w:rsidR="000B29D3" w:rsidRPr="001A6013" w:rsidRDefault="000B29D3" w:rsidP="0013666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No acceptable outcomes are 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0B29D3" w:rsidRPr="005A77FA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PO10</w:t>
            </w:r>
          </w:p>
          <w:p w:rsidR="000B29D3" w:rsidRPr="000A69E8" w:rsidRDefault="000B29D3" w:rsidP="001366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Fencing is designed to not impede the movement of fauna through the site.</w:t>
            </w:r>
          </w:p>
        </w:tc>
        <w:tc>
          <w:tcPr>
            <w:tcW w:w="1667" w:type="pct"/>
          </w:tcPr>
          <w:p w:rsidR="000B29D3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AO10.1</w:t>
            </w:r>
          </w:p>
          <w:p w:rsidR="000B29D3" w:rsidRPr="000A69E8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</w:p>
        </w:tc>
      </w:tr>
      <w:tr w:rsidR="000B29D3" w:rsidRPr="002C79EE" w:rsidTr="000B29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0B29D3" w:rsidRDefault="000B29D3" w:rsidP="00136662">
            <w:pPr>
              <w:rPr>
                <w:rStyle w:val="Strong"/>
              </w:rPr>
            </w:pPr>
            <w:r>
              <w:rPr>
                <w:rStyle w:val="Strong"/>
              </w:rPr>
              <w:t>Lot reconfiguration</w:t>
            </w:r>
          </w:p>
        </w:tc>
      </w:tr>
      <w:tr w:rsidR="000B29D3" w:rsidRPr="006D6EE1" w:rsidTr="000B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0B29D3" w:rsidRDefault="000B29D3" w:rsidP="00136662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PO11</w:t>
            </w:r>
          </w:p>
          <w:p w:rsidR="000B29D3" w:rsidRPr="006D6EE1" w:rsidRDefault="000B29D3" w:rsidP="001366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Lot reconfiguration results in no additional lots, except where associated with a lease exceeding 10 years and associated with an existing or approved Telecommunications facility.</w:t>
            </w:r>
          </w:p>
        </w:tc>
        <w:tc>
          <w:tcPr>
            <w:tcW w:w="1667" w:type="pct"/>
          </w:tcPr>
          <w:p w:rsidR="000B29D3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PO11.1</w:t>
            </w:r>
          </w:p>
          <w:p w:rsidR="000B29D3" w:rsidRPr="006D6EE1" w:rsidRDefault="000B29D3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B29D3" w:rsidRDefault="000B29D3" w:rsidP="00136662">
            <w:pPr>
              <w:rPr>
                <w:rFonts w:cs="Arial"/>
                <w:b/>
                <w:szCs w:val="20"/>
              </w:rPr>
            </w:pPr>
          </w:p>
        </w:tc>
      </w:tr>
    </w:tbl>
    <w:p w:rsidR="00605B7B" w:rsidRDefault="00605B7B" w:rsidP="009F418E">
      <w:pPr>
        <w:rPr>
          <w:rFonts w:eastAsia="Times New Roman"/>
        </w:rPr>
      </w:pPr>
    </w:p>
    <w:sectPr w:rsidR="00605B7B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AF" w:rsidRDefault="00B56EAF">
      <w:pPr>
        <w:spacing w:after="0" w:line="240" w:lineRule="auto"/>
      </w:pPr>
      <w:r>
        <w:separator/>
      </w:r>
    </w:p>
  </w:endnote>
  <w:endnote w:type="continuationSeparator" w:id="0">
    <w:p w:rsidR="00B56EAF" w:rsidRDefault="00B5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72BBC4D0" wp14:editId="287A6610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7AAA3479" wp14:editId="6EABFCCA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984F66" w:rsidRDefault="00107CB9" w:rsidP="00984F66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0B29D3" w:rsidRPr="000B29D3">
              <w:rPr>
                <w:color w:val="0064A7"/>
                <w:sz w:val="16"/>
                <w:szCs w:val="16"/>
              </w:rPr>
              <w:t>6.2.2</w:t>
            </w:r>
            <w:r w:rsidR="000B29D3" w:rsidRPr="000B29D3">
              <w:rPr>
                <w:color w:val="0064A7"/>
                <w:sz w:val="16"/>
                <w:szCs w:val="16"/>
              </w:rPr>
              <w:tab/>
            </w:r>
            <w:r w:rsidR="000B29D3">
              <w:rPr>
                <w:color w:val="0064A7"/>
                <w:sz w:val="16"/>
                <w:szCs w:val="16"/>
              </w:rPr>
              <w:t xml:space="preserve"> </w:t>
            </w:r>
            <w:r w:rsidR="000B29D3" w:rsidRPr="000B29D3">
              <w:rPr>
                <w:color w:val="0064A7"/>
                <w:sz w:val="16"/>
                <w:szCs w:val="16"/>
              </w:rPr>
              <w:t>Conservation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1D1C4E">
              <w:rPr>
                <w:color w:val="0064A7"/>
                <w:sz w:val="16"/>
                <w:szCs w:val="16"/>
              </w:rPr>
              <w:t xml:space="preserve"> </w:t>
            </w:r>
            <w:r w:rsidR="00984F66">
              <w:rPr>
                <w:color w:val="0064A7"/>
                <w:sz w:val="16"/>
                <w:szCs w:val="16"/>
              </w:rPr>
              <w:t xml:space="preserve">   CairnsPlan 2016 </w:t>
            </w:r>
            <w:r w:rsidR="007B57DE">
              <w:rPr>
                <w:color w:val="0064A7"/>
                <w:sz w:val="16"/>
                <w:szCs w:val="16"/>
              </w:rPr>
              <w:t>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7B57DE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7B57DE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AF" w:rsidRDefault="00B56EAF">
      <w:pPr>
        <w:spacing w:after="0" w:line="240" w:lineRule="auto"/>
      </w:pPr>
      <w:r>
        <w:separator/>
      </w:r>
    </w:p>
  </w:footnote>
  <w:footnote w:type="continuationSeparator" w:id="0">
    <w:p w:rsidR="00B56EAF" w:rsidRDefault="00B5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58F57E7" wp14:editId="672BED97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1B46AE4C" wp14:editId="0199576E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8884AF92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9D3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B6E14"/>
    <w:rsid w:val="001C0D1D"/>
    <w:rsid w:val="001C1281"/>
    <w:rsid w:val="001C258E"/>
    <w:rsid w:val="001C5408"/>
    <w:rsid w:val="001C6DB8"/>
    <w:rsid w:val="001D1C4E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3A0E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26F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57DE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84F66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276A8"/>
    <w:rsid w:val="00B33C46"/>
    <w:rsid w:val="00B35FB7"/>
    <w:rsid w:val="00B378B0"/>
    <w:rsid w:val="00B46792"/>
    <w:rsid w:val="00B472C2"/>
    <w:rsid w:val="00B510BA"/>
    <w:rsid w:val="00B54EC7"/>
    <w:rsid w:val="00B551A9"/>
    <w:rsid w:val="00B56EAF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A662982-ED04-48D2-88EF-700EB92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B651DD-8C83-40A8-B0E7-2B8D8AFD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2016-02-26T03:32:00Z</dcterms:created>
  <dcterms:modified xsi:type="dcterms:W3CDTF">2019-10-31T22:42:00Z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