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EE" w:rsidRPr="005A77FA" w:rsidRDefault="008578EE" w:rsidP="00E560DD">
      <w:pPr>
        <w:pStyle w:val="Heading3"/>
        <w:numPr>
          <w:ilvl w:val="2"/>
          <w:numId w:val="65"/>
        </w:numPr>
      </w:pPr>
      <w:r>
        <w:t>Special purpose zone</w:t>
      </w:r>
      <w:r w:rsidR="0039551F">
        <w:t xml:space="preserve"> code</w:t>
      </w:r>
    </w:p>
    <w:p w:rsidR="008578EE" w:rsidRPr="005A77FA" w:rsidRDefault="008578EE" w:rsidP="008578EE">
      <w:pPr>
        <w:pStyle w:val="Heading4"/>
      </w:pPr>
      <w:r w:rsidRPr="005A77FA">
        <w:t>Application</w:t>
      </w:r>
    </w:p>
    <w:p w:rsidR="008578EE" w:rsidRPr="004848FB" w:rsidRDefault="008578EE" w:rsidP="004848FB">
      <w:pPr>
        <w:pStyle w:val="Reportbodytext"/>
        <w:numPr>
          <w:ilvl w:val="0"/>
          <w:numId w:val="27"/>
        </w:numPr>
        <w:spacing w:line="276" w:lineRule="auto"/>
        <w:rPr>
          <w:sz w:val="20"/>
          <w:szCs w:val="20"/>
          <w:lang w:eastAsia="en-AU"/>
        </w:rPr>
      </w:pPr>
      <w:r w:rsidRPr="004848FB">
        <w:rPr>
          <w:sz w:val="20"/>
          <w:szCs w:val="20"/>
          <w:lang w:eastAsia="en-AU"/>
        </w:rPr>
        <w:t xml:space="preserve">This code applies to assessing development in the </w:t>
      </w:r>
      <w:r w:rsidR="00DF6AF2" w:rsidRPr="004848FB">
        <w:rPr>
          <w:sz w:val="20"/>
          <w:szCs w:val="20"/>
          <w:lang w:eastAsia="en-AU"/>
        </w:rPr>
        <w:t xml:space="preserve">Special </w:t>
      </w:r>
      <w:r w:rsidR="00B127AC" w:rsidRPr="004848FB">
        <w:rPr>
          <w:sz w:val="20"/>
          <w:szCs w:val="20"/>
          <w:lang w:eastAsia="en-AU"/>
        </w:rPr>
        <w:t>purpose</w:t>
      </w:r>
      <w:r w:rsidRPr="004848FB">
        <w:rPr>
          <w:sz w:val="20"/>
          <w:szCs w:val="20"/>
          <w:lang w:eastAsia="en-AU"/>
        </w:rPr>
        <w:t xml:space="preserve"> zone.</w:t>
      </w:r>
    </w:p>
    <w:p w:rsidR="008578EE" w:rsidRPr="004848FB" w:rsidRDefault="008578EE" w:rsidP="004848FB">
      <w:pPr>
        <w:pStyle w:val="Reportbodytext"/>
        <w:spacing w:line="276" w:lineRule="auto"/>
        <w:ind w:left="567"/>
        <w:rPr>
          <w:sz w:val="20"/>
          <w:szCs w:val="20"/>
          <w:lang w:eastAsia="en-AU"/>
        </w:rPr>
      </w:pPr>
    </w:p>
    <w:p w:rsidR="008578EE" w:rsidRPr="004848FB" w:rsidRDefault="008578EE" w:rsidP="004848FB">
      <w:pPr>
        <w:pStyle w:val="Reportbodytext"/>
        <w:numPr>
          <w:ilvl w:val="0"/>
          <w:numId w:val="27"/>
        </w:numPr>
        <w:spacing w:line="276" w:lineRule="auto"/>
        <w:rPr>
          <w:sz w:val="20"/>
          <w:szCs w:val="20"/>
          <w:lang w:eastAsia="en-AU"/>
        </w:rPr>
      </w:pPr>
      <w:r w:rsidRPr="004848FB">
        <w:rPr>
          <w:sz w:val="20"/>
          <w:szCs w:val="20"/>
          <w:lang w:eastAsia="en-AU"/>
        </w:rPr>
        <w:t>When using this code, reference should be made to Part 5.</w:t>
      </w:r>
    </w:p>
    <w:p w:rsidR="008578EE" w:rsidRPr="005A77FA" w:rsidRDefault="008578EE" w:rsidP="008578EE">
      <w:pPr>
        <w:pStyle w:val="Heading4"/>
      </w:pPr>
      <w:r w:rsidRPr="005A77FA">
        <w:t xml:space="preserve">Purpose </w:t>
      </w:r>
    </w:p>
    <w:p w:rsidR="00B127AC" w:rsidRDefault="00B127AC" w:rsidP="004848FB">
      <w:pPr>
        <w:pStyle w:val="Reportbodytext"/>
        <w:numPr>
          <w:ilvl w:val="0"/>
          <w:numId w:val="57"/>
        </w:numPr>
        <w:spacing w:line="276" w:lineRule="auto"/>
        <w:rPr>
          <w:sz w:val="20"/>
          <w:szCs w:val="20"/>
        </w:rPr>
      </w:pPr>
      <w:r w:rsidRPr="00A90FEB">
        <w:rPr>
          <w:sz w:val="20"/>
          <w:szCs w:val="20"/>
          <w:lang w:eastAsia="en-AU"/>
        </w:rPr>
        <w:t xml:space="preserve">The purpose of the </w:t>
      </w:r>
      <w:r w:rsidR="009151CC">
        <w:rPr>
          <w:sz w:val="20"/>
          <w:szCs w:val="20"/>
          <w:lang w:eastAsia="en-AU"/>
        </w:rPr>
        <w:t>S</w:t>
      </w:r>
      <w:r w:rsidRPr="00A90FEB">
        <w:rPr>
          <w:sz w:val="20"/>
          <w:szCs w:val="20"/>
          <w:lang w:eastAsia="en-AU"/>
        </w:rPr>
        <w:t xml:space="preserve">pecial purpose zone code is to provide for public uses that are owned or operated by </w:t>
      </w:r>
      <w:r w:rsidR="00432B8B">
        <w:rPr>
          <w:sz w:val="20"/>
          <w:szCs w:val="20"/>
          <w:lang w:eastAsia="en-AU"/>
        </w:rPr>
        <w:t xml:space="preserve">a </w:t>
      </w:r>
      <w:r w:rsidRPr="00A90FEB">
        <w:rPr>
          <w:sz w:val="20"/>
          <w:szCs w:val="20"/>
          <w:lang w:eastAsia="en-AU"/>
        </w:rPr>
        <w:t xml:space="preserve">government, </w:t>
      </w:r>
      <w:r w:rsidR="00432B8B">
        <w:rPr>
          <w:sz w:val="20"/>
          <w:szCs w:val="20"/>
          <w:lang w:eastAsia="en-AU"/>
        </w:rPr>
        <w:t>statutory authority,</w:t>
      </w:r>
      <w:r w:rsidRPr="00A90FEB">
        <w:rPr>
          <w:sz w:val="20"/>
          <w:szCs w:val="20"/>
          <w:lang w:eastAsia="en-AU"/>
        </w:rPr>
        <w:t xml:space="preserve"> government owned corporation, local government or private organisation in the course of a public utility undertaking</w:t>
      </w:r>
      <w:r w:rsidR="00432B8B">
        <w:rPr>
          <w:sz w:val="20"/>
          <w:szCs w:val="20"/>
          <w:lang w:eastAsia="en-AU"/>
        </w:rPr>
        <w:t>, such as a</w:t>
      </w:r>
      <w:r w:rsidRPr="00A90FEB">
        <w:rPr>
          <w:sz w:val="20"/>
          <w:szCs w:val="20"/>
          <w:lang w:eastAsia="en-AU"/>
        </w:rPr>
        <w:t xml:space="preserve"> defence establishment, airport, sea port, rail line, rail station, </w:t>
      </w:r>
      <w:r w:rsidR="00432B8B">
        <w:rPr>
          <w:sz w:val="20"/>
          <w:szCs w:val="20"/>
          <w:lang w:eastAsia="en-AU"/>
        </w:rPr>
        <w:t xml:space="preserve">or </w:t>
      </w:r>
      <w:r w:rsidRPr="00A90FEB">
        <w:rPr>
          <w:sz w:val="20"/>
          <w:szCs w:val="20"/>
          <w:lang w:eastAsia="en-AU"/>
        </w:rPr>
        <w:t>the provision of water supply, sewerage, electricity, gas, telecommunications, transport, drainage or other like services.</w:t>
      </w:r>
    </w:p>
    <w:p w:rsidR="00432B8B" w:rsidRDefault="00432B8B" w:rsidP="000646E9">
      <w:pPr>
        <w:pStyle w:val="Reportbodytext"/>
        <w:spacing w:line="276" w:lineRule="auto"/>
        <w:rPr>
          <w:sz w:val="20"/>
          <w:szCs w:val="20"/>
          <w:lang w:eastAsia="en-AU"/>
        </w:rPr>
      </w:pPr>
    </w:p>
    <w:p w:rsidR="00432B8B" w:rsidRDefault="00432B8B" w:rsidP="000646E9">
      <w:pPr>
        <w:pStyle w:val="Reportbodytext"/>
        <w:spacing w:line="276" w:lineRule="auto"/>
        <w:ind w:left="567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Development is buffered from encroachment by incompatible uses.</w:t>
      </w:r>
    </w:p>
    <w:p w:rsidR="00432B8B" w:rsidRDefault="00432B8B" w:rsidP="000646E9">
      <w:pPr>
        <w:pStyle w:val="Reportbodytext"/>
        <w:spacing w:line="276" w:lineRule="auto"/>
        <w:ind w:left="567"/>
        <w:rPr>
          <w:sz w:val="20"/>
          <w:szCs w:val="20"/>
          <w:lang w:eastAsia="en-AU"/>
        </w:rPr>
      </w:pPr>
    </w:p>
    <w:p w:rsidR="00432B8B" w:rsidRPr="00A90FEB" w:rsidRDefault="00432B8B" w:rsidP="000646E9">
      <w:pPr>
        <w:pStyle w:val="Reportbodytext"/>
        <w:spacing w:line="276" w:lineRule="auto"/>
        <w:ind w:left="567"/>
        <w:rPr>
          <w:sz w:val="20"/>
          <w:szCs w:val="20"/>
        </w:rPr>
      </w:pPr>
      <w:r>
        <w:rPr>
          <w:sz w:val="20"/>
          <w:szCs w:val="20"/>
          <w:lang w:eastAsia="en-AU"/>
        </w:rPr>
        <w:t>The zone may also provide for special development areas.</w:t>
      </w:r>
    </w:p>
    <w:p w:rsidR="00B127AC" w:rsidRPr="00A90FEB" w:rsidRDefault="00B127AC" w:rsidP="000646E9">
      <w:pPr>
        <w:pStyle w:val="Reportbodytext"/>
        <w:spacing w:line="276" w:lineRule="auto"/>
        <w:rPr>
          <w:sz w:val="20"/>
          <w:szCs w:val="20"/>
        </w:rPr>
      </w:pPr>
    </w:p>
    <w:p w:rsidR="00B127AC" w:rsidRPr="009C027C" w:rsidRDefault="00B127AC" w:rsidP="004848FB">
      <w:pPr>
        <w:pStyle w:val="Reportbodytext"/>
        <w:numPr>
          <w:ilvl w:val="0"/>
          <w:numId w:val="57"/>
        </w:numPr>
        <w:spacing w:line="276" w:lineRule="auto"/>
        <w:rPr>
          <w:sz w:val="20"/>
          <w:szCs w:val="20"/>
        </w:rPr>
      </w:pPr>
      <w:r w:rsidRPr="00A90FEB">
        <w:rPr>
          <w:sz w:val="20"/>
          <w:szCs w:val="20"/>
          <w:lang w:eastAsia="en-AU"/>
        </w:rPr>
        <w:t xml:space="preserve">The local government purpose of the </w:t>
      </w:r>
      <w:r w:rsidRPr="009C027C">
        <w:rPr>
          <w:sz w:val="20"/>
          <w:szCs w:val="20"/>
          <w:lang w:eastAsia="en-AU"/>
        </w:rPr>
        <w:t>code is to facilitate the on-going operation of public utilities.</w:t>
      </w:r>
    </w:p>
    <w:p w:rsidR="00B127AC" w:rsidRPr="00A90FEB" w:rsidRDefault="00B127AC" w:rsidP="000646E9">
      <w:pPr>
        <w:pStyle w:val="Reportbodytext"/>
        <w:tabs>
          <w:tab w:val="left" w:pos="7065"/>
        </w:tabs>
        <w:spacing w:line="276" w:lineRule="auto"/>
        <w:ind w:left="567" w:firstLine="6495"/>
        <w:rPr>
          <w:sz w:val="20"/>
          <w:szCs w:val="20"/>
        </w:rPr>
      </w:pPr>
    </w:p>
    <w:p w:rsidR="00B127AC" w:rsidRPr="00B127AC" w:rsidRDefault="00B127AC" w:rsidP="004848FB">
      <w:pPr>
        <w:pStyle w:val="ListParagraph"/>
        <w:numPr>
          <w:ilvl w:val="0"/>
          <w:numId w:val="57"/>
        </w:numPr>
        <w:spacing w:after="0"/>
        <w:rPr>
          <w:rFonts w:ascii="Arial" w:hAnsi="Arial" w:cs="Arial"/>
          <w:szCs w:val="20"/>
        </w:rPr>
      </w:pPr>
      <w:r w:rsidRPr="00B127AC">
        <w:rPr>
          <w:rFonts w:ascii="Arial" w:hAnsi="Arial" w:cs="Arial"/>
          <w:szCs w:val="20"/>
        </w:rPr>
        <w:t>The purpose of the code will be achieved through the following overall outcomes:</w:t>
      </w:r>
    </w:p>
    <w:p w:rsidR="00B127AC" w:rsidRPr="00B127AC" w:rsidRDefault="00CF36CC" w:rsidP="004848FB">
      <w:pPr>
        <w:pStyle w:val="ListParagraph"/>
        <w:widowControl w:val="0"/>
        <w:numPr>
          <w:ilvl w:val="1"/>
          <w:numId w:val="5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="00B127AC" w:rsidRPr="00B127AC">
        <w:rPr>
          <w:rFonts w:ascii="Arial" w:eastAsia="Times New Roman" w:hAnsi="Arial" w:cs="Arial"/>
          <w:szCs w:val="20"/>
        </w:rPr>
        <w:t>pecial uses and works that are owned or operated by federal, state or l</w:t>
      </w:r>
      <w:r w:rsidR="00D868E7">
        <w:rPr>
          <w:rFonts w:ascii="Arial" w:eastAsia="Times New Roman" w:hAnsi="Arial" w:cs="Arial"/>
          <w:szCs w:val="20"/>
        </w:rPr>
        <w:t>ocal government are facilitated;</w:t>
      </w:r>
    </w:p>
    <w:p w:rsidR="003177D1" w:rsidRDefault="00CF36CC" w:rsidP="004848FB">
      <w:pPr>
        <w:pStyle w:val="ListParagraph"/>
        <w:widowControl w:val="0"/>
        <w:numPr>
          <w:ilvl w:val="1"/>
          <w:numId w:val="5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B127AC" w:rsidRPr="00B127AC">
        <w:rPr>
          <w:rFonts w:ascii="Arial" w:eastAsia="Times New Roman" w:hAnsi="Arial" w:cs="Arial"/>
          <w:szCs w:val="20"/>
        </w:rPr>
        <w:t xml:space="preserve">evelopment is located </w:t>
      </w:r>
      <w:r w:rsidR="00DF6AF2" w:rsidRPr="00B127AC">
        <w:rPr>
          <w:rFonts w:ascii="Arial" w:eastAsia="Times New Roman" w:hAnsi="Arial" w:cs="Arial"/>
          <w:szCs w:val="20"/>
        </w:rPr>
        <w:t>appropriat</w:t>
      </w:r>
      <w:r w:rsidR="00DF6AF2">
        <w:rPr>
          <w:rFonts w:ascii="Arial" w:eastAsia="Times New Roman" w:hAnsi="Arial" w:cs="Arial"/>
          <w:szCs w:val="20"/>
        </w:rPr>
        <w:t xml:space="preserve">ely for </w:t>
      </w:r>
      <w:r w:rsidR="00B127AC" w:rsidRPr="00B127AC">
        <w:rPr>
          <w:rFonts w:ascii="Arial" w:eastAsia="Times New Roman" w:hAnsi="Arial" w:cs="Arial"/>
          <w:szCs w:val="20"/>
        </w:rPr>
        <w:t xml:space="preserve">the type of special purpose </w:t>
      </w:r>
      <w:r w:rsidR="00DF6AF2">
        <w:rPr>
          <w:rFonts w:ascii="Arial" w:eastAsia="Times New Roman" w:hAnsi="Arial" w:cs="Arial"/>
          <w:szCs w:val="20"/>
        </w:rPr>
        <w:t xml:space="preserve">proposed </w:t>
      </w:r>
      <w:r w:rsidR="00B127AC" w:rsidRPr="00B127AC">
        <w:rPr>
          <w:rFonts w:ascii="Arial" w:eastAsia="Times New Roman" w:hAnsi="Arial" w:cs="Arial"/>
          <w:szCs w:val="20"/>
        </w:rPr>
        <w:t>and is generally consistent in scale, height and bulk with that of surrounding development</w:t>
      </w:r>
      <w:r w:rsidR="003177D1">
        <w:rPr>
          <w:rFonts w:ascii="Arial" w:eastAsia="Times New Roman" w:hAnsi="Arial" w:cs="Arial"/>
          <w:szCs w:val="20"/>
        </w:rPr>
        <w:t>;</w:t>
      </w:r>
    </w:p>
    <w:p w:rsidR="0023610D" w:rsidRDefault="003177D1" w:rsidP="004848FB">
      <w:pPr>
        <w:pStyle w:val="ListParagraph"/>
        <w:numPr>
          <w:ilvl w:val="1"/>
          <w:numId w:val="57"/>
        </w:numPr>
        <w:spacing w:after="0"/>
        <w:rPr>
          <w:rFonts w:ascii="Arial" w:eastAsia="Times New Roman" w:hAnsi="Arial" w:cs="Arial"/>
          <w:szCs w:val="20"/>
        </w:rPr>
      </w:pPr>
      <w:r w:rsidRPr="00CD6253">
        <w:rPr>
          <w:rFonts w:ascii="Arial" w:eastAsia="Times New Roman" w:hAnsi="Arial" w:cs="Arial"/>
          <w:szCs w:val="20"/>
        </w:rPr>
        <w:t>development reflects and responds to the natural features and constraints of the land</w:t>
      </w:r>
      <w:r w:rsidR="0023610D">
        <w:rPr>
          <w:rFonts w:ascii="Arial" w:eastAsia="Times New Roman" w:hAnsi="Arial" w:cs="Arial"/>
          <w:szCs w:val="20"/>
        </w:rPr>
        <w:t>;</w:t>
      </w:r>
      <w:bookmarkStart w:id="0" w:name="_GoBack"/>
      <w:bookmarkEnd w:id="0"/>
    </w:p>
    <w:p w:rsidR="0023610D" w:rsidRPr="000911B1" w:rsidRDefault="0023610D" w:rsidP="004848FB">
      <w:pPr>
        <w:pStyle w:val="ListParagraph"/>
        <w:numPr>
          <w:ilvl w:val="1"/>
          <w:numId w:val="57"/>
        </w:numPr>
        <w:spacing w:after="0"/>
        <w:rPr>
          <w:rFonts w:ascii="Arial" w:eastAsia="Times New Roman" w:hAnsi="Arial" w:cs="Arial"/>
          <w:szCs w:val="20"/>
        </w:rPr>
      </w:pPr>
      <w:r>
        <w:t>development does not affect the operational aspects of the Port of Cairns.</w:t>
      </w:r>
    </w:p>
    <w:p w:rsidR="000911B1" w:rsidRDefault="000911B1" w:rsidP="000911B1">
      <w:pPr>
        <w:spacing w:after="0"/>
        <w:rPr>
          <w:rFonts w:ascii="Arial" w:eastAsia="Times New Roman" w:hAnsi="Arial" w:cs="Arial"/>
          <w:szCs w:val="20"/>
        </w:rPr>
      </w:pPr>
    </w:p>
    <w:p w:rsidR="000911B1" w:rsidRDefault="000911B1" w:rsidP="000911B1">
      <w:pPr>
        <w:spacing w:after="0"/>
        <w:rPr>
          <w:rFonts w:ascii="Arial" w:eastAsia="Times New Roman" w:hAnsi="Arial" w:cs="Arial"/>
          <w:szCs w:val="20"/>
        </w:rPr>
      </w:pPr>
    </w:p>
    <w:p w:rsidR="000911B1" w:rsidRDefault="000911B1" w:rsidP="000911B1">
      <w:pPr>
        <w:spacing w:after="0"/>
        <w:rPr>
          <w:rFonts w:ascii="Arial" w:eastAsia="Times New Roman" w:hAnsi="Arial" w:cs="Arial"/>
          <w:szCs w:val="20"/>
        </w:rPr>
      </w:pPr>
    </w:p>
    <w:p w:rsidR="000911B1" w:rsidRDefault="000911B1" w:rsidP="000911B1">
      <w:pPr>
        <w:spacing w:after="0"/>
        <w:rPr>
          <w:rFonts w:ascii="Arial" w:eastAsia="Times New Roman" w:hAnsi="Arial" w:cs="Arial"/>
          <w:szCs w:val="20"/>
        </w:rPr>
      </w:pPr>
    </w:p>
    <w:p w:rsidR="000911B1" w:rsidRDefault="000911B1" w:rsidP="000911B1">
      <w:pPr>
        <w:spacing w:after="0"/>
        <w:rPr>
          <w:rFonts w:ascii="Arial" w:eastAsia="Times New Roman" w:hAnsi="Arial" w:cs="Arial"/>
          <w:szCs w:val="20"/>
        </w:rPr>
      </w:pPr>
    </w:p>
    <w:p w:rsidR="000911B1" w:rsidRDefault="000911B1" w:rsidP="000911B1">
      <w:pPr>
        <w:spacing w:after="0"/>
        <w:rPr>
          <w:rFonts w:ascii="Arial" w:eastAsia="Times New Roman" w:hAnsi="Arial" w:cs="Arial"/>
          <w:szCs w:val="20"/>
        </w:rPr>
      </w:pPr>
    </w:p>
    <w:p w:rsidR="000911B1" w:rsidRDefault="000911B1" w:rsidP="000911B1">
      <w:pPr>
        <w:spacing w:after="0"/>
        <w:rPr>
          <w:rFonts w:ascii="Arial" w:eastAsia="Times New Roman" w:hAnsi="Arial" w:cs="Arial"/>
          <w:szCs w:val="20"/>
        </w:rPr>
      </w:pPr>
    </w:p>
    <w:p w:rsidR="000911B1" w:rsidRPr="000911B1" w:rsidRDefault="000911B1" w:rsidP="000911B1">
      <w:pPr>
        <w:spacing w:after="0"/>
        <w:rPr>
          <w:rFonts w:ascii="Arial" w:eastAsia="Times New Roman" w:hAnsi="Arial" w:cs="Arial"/>
          <w:szCs w:val="20"/>
        </w:rPr>
      </w:pPr>
    </w:p>
    <w:p w:rsidR="008578EE" w:rsidRPr="005A77FA" w:rsidRDefault="008578EE" w:rsidP="008578EE">
      <w:pPr>
        <w:pStyle w:val="Heading4"/>
      </w:pPr>
      <w:bookmarkStart w:id="1" w:name="_Ref363550173"/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8578EE" w:rsidRPr="00BF128E" w:rsidRDefault="008578EE" w:rsidP="008578E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8578EE" w:rsidRPr="005A77FA" w:rsidRDefault="008578EE" w:rsidP="008578EE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8578EE" w:rsidRPr="005A77FA" w:rsidRDefault="008578EE" w:rsidP="008578EE">
      <w:pPr>
        <w:pStyle w:val="Caption"/>
      </w:pPr>
      <w:r>
        <w:t>Table</w:t>
      </w:r>
      <w:r w:rsidR="00B127AC">
        <w:t xml:space="preserve"> </w:t>
      </w:r>
      <w:r w:rsidR="00B127AC">
        <w:fldChar w:fldCharType="begin"/>
      </w:r>
      <w:r w:rsidR="00B127AC">
        <w:instrText xml:space="preserve"> REF _Ref363550173 \r \h </w:instrText>
      </w:r>
      <w:r w:rsidR="00B127AC">
        <w:fldChar w:fldCharType="separate"/>
      </w:r>
      <w:r w:rsidR="00CF44F9">
        <w:t>6.2.20.3</w:t>
      </w:r>
      <w:r w:rsidR="00B127AC">
        <w:fldChar w:fldCharType="end"/>
      </w:r>
      <w:r>
        <w:t>.a</w:t>
      </w:r>
      <w:r w:rsidRPr="005A77FA">
        <w:t xml:space="preserve"> </w:t>
      </w:r>
      <w:r>
        <w:t>–</w:t>
      </w:r>
      <w:r w:rsidR="00B127AC">
        <w:t xml:space="preserve">Special purpose </w:t>
      </w:r>
      <w:r w:rsidR="0072131B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E560DD" w:rsidRPr="005A77FA" w:rsidTr="00E5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560DD" w:rsidRPr="005A77FA" w:rsidRDefault="00E560DD" w:rsidP="00B127AC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560DD" w:rsidRPr="005A77FA" w:rsidRDefault="00E560DD" w:rsidP="00B12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E560DD" w:rsidRPr="005A77FA" w:rsidRDefault="00E560DD" w:rsidP="00B127AC">
            <w:r>
              <w:t>Applicant response</w:t>
            </w:r>
          </w:p>
        </w:tc>
      </w:tr>
      <w:tr w:rsidR="00E560DD" w:rsidRPr="006F6F35" w:rsidTr="00E5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560DD" w:rsidRPr="00621988" w:rsidRDefault="00E560DD" w:rsidP="00B127AC">
            <w:pPr>
              <w:rPr>
                <w:b/>
              </w:rPr>
            </w:pPr>
            <w:r w:rsidRPr="00621988">
              <w:rPr>
                <w:b/>
              </w:rPr>
              <w:t>Fo</w:t>
            </w:r>
            <w:r>
              <w:rPr>
                <w:b/>
              </w:rPr>
              <w:t>r self-assessable and assessable development</w:t>
            </w:r>
          </w:p>
        </w:tc>
      </w:tr>
      <w:tr w:rsidR="00E560DD" w:rsidRPr="002C79EE" w:rsidTr="00E560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560DD" w:rsidRDefault="00E560DD" w:rsidP="00B127AC">
            <w:pPr>
              <w:rPr>
                <w:rStyle w:val="Strong"/>
              </w:rPr>
            </w:pPr>
            <w:r>
              <w:rPr>
                <w:rStyle w:val="Strong"/>
              </w:rPr>
              <w:t xml:space="preserve">Height </w:t>
            </w:r>
          </w:p>
        </w:tc>
      </w:tr>
      <w:tr w:rsidR="00E560DD" w:rsidRPr="005A77FA" w:rsidTr="00E5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E560DD" w:rsidRDefault="00E560DD" w:rsidP="00B127A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PO1</w:t>
            </w:r>
          </w:p>
          <w:p w:rsidR="00E560DD" w:rsidRDefault="00E560DD" w:rsidP="002E5470">
            <w:pPr>
              <w:rPr>
                <w:rFonts w:ascii="Arial" w:hAnsi="Arial" w:cs="Arial"/>
                <w:szCs w:val="20"/>
              </w:rPr>
            </w:pPr>
            <w:r w:rsidRPr="00575263">
              <w:rPr>
                <w:rFonts w:ascii="Arial" w:hAnsi="Arial" w:cs="Arial"/>
                <w:szCs w:val="20"/>
              </w:rPr>
              <w:t xml:space="preserve">The height of all </w:t>
            </w:r>
            <w:r w:rsidRPr="009C027C">
              <w:rPr>
                <w:rFonts w:ascii="Arial" w:hAnsi="Arial" w:cs="Arial"/>
                <w:szCs w:val="20"/>
              </w:rPr>
              <w:t>buildings and structures</w:t>
            </w:r>
            <w:r w:rsidRPr="00575263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is </w:t>
            </w:r>
            <w:r w:rsidRPr="00575263">
              <w:rPr>
                <w:rFonts w:ascii="Arial" w:hAnsi="Arial" w:cs="Arial"/>
                <w:szCs w:val="20"/>
              </w:rPr>
              <w:t xml:space="preserve">in keeping with the intended character of the area and the height of buildings </w:t>
            </w:r>
            <w:r>
              <w:rPr>
                <w:rFonts w:ascii="Arial" w:hAnsi="Arial" w:cs="Arial"/>
                <w:szCs w:val="20"/>
              </w:rPr>
              <w:t xml:space="preserve">does </w:t>
            </w:r>
            <w:r w:rsidRPr="00575263">
              <w:rPr>
                <w:rFonts w:ascii="Arial" w:hAnsi="Arial" w:cs="Arial"/>
                <w:szCs w:val="20"/>
              </w:rPr>
              <w:t>not adversely affect the amenity of residential neighbourhoods.</w:t>
            </w:r>
          </w:p>
          <w:p w:rsidR="00E560DD" w:rsidRDefault="00E560DD" w:rsidP="002E5470">
            <w:pPr>
              <w:rPr>
                <w:rFonts w:ascii="Arial" w:hAnsi="Arial" w:cs="Arial"/>
                <w:szCs w:val="20"/>
              </w:rPr>
            </w:pPr>
          </w:p>
          <w:p w:rsidR="00E560DD" w:rsidRDefault="00E560DD" w:rsidP="00011A8F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E560DD" w:rsidRDefault="00E560DD" w:rsidP="00011A8F">
            <w:pPr>
              <w:rPr>
                <w:sz w:val="16"/>
                <w:szCs w:val="16"/>
              </w:rPr>
            </w:pPr>
          </w:p>
          <w:p w:rsidR="00E560DD" w:rsidRPr="00575263" w:rsidRDefault="00E560DD" w:rsidP="00A93BE3">
            <w:pPr>
              <w:rPr>
                <w:rFonts w:ascii="Arial" w:hAnsi="Arial"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setbacks stated in AO2.1 correspond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E560DD" w:rsidRPr="00BF1F49" w:rsidRDefault="00E560DD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szCs w:val="20"/>
              </w:rPr>
            </w:pPr>
            <w:r w:rsidRPr="00BF1F49">
              <w:rPr>
                <w:rFonts w:ascii="Arial" w:hAnsi="Arial" w:cs="Arial"/>
                <w:b/>
                <w:szCs w:val="20"/>
              </w:rPr>
              <w:t>AO</w:t>
            </w:r>
            <w:r>
              <w:rPr>
                <w:rFonts w:ascii="Arial" w:hAnsi="Arial" w:cs="Arial"/>
                <w:b/>
                <w:szCs w:val="20"/>
              </w:rPr>
              <w:t>1.1</w:t>
            </w:r>
          </w:p>
          <w:p w:rsidR="00E560DD" w:rsidRDefault="00E560DD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Pr="00575263">
              <w:rPr>
                <w:rFonts w:ascii="Arial" w:hAnsi="Arial" w:cs="Arial"/>
                <w:szCs w:val="20"/>
              </w:rPr>
              <w:t>uildings</w:t>
            </w:r>
            <w:r>
              <w:rPr>
                <w:rFonts w:ascii="Arial" w:hAnsi="Arial" w:cs="Arial"/>
                <w:szCs w:val="20"/>
              </w:rPr>
              <w:t xml:space="preserve"> and structures are not more than 8.5</w:t>
            </w:r>
            <w:r w:rsidRPr="00575263">
              <w:rPr>
                <w:rFonts w:ascii="Arial" w:hAnsi="Arial" w:cs="Arial"/>
                <w:szCs w:val="20"/>
              </w:rPr>
              <w:t xml:space="preserve"> metres in height.</w:t>
            </w:r>
          </w:p>
          <w:p w:rsidR="00E560DD" w:rsidRDefault="00E560DD" w:rsidP="00B12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:rsidR="00E560DD" w:rsidRPr="00575263" w:rsidRDefault="00E560DD" w:rsidP="0001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560DD" w:rsidRPr="00BF1F49" w:rsidRDefault="00E560DD" w:rsidP="00B127A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560DD" w:rsidRPr="002C79EE" w:rsidTr="00E560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560DD" w:rsidRDefault="00E560DD" w:rsidP="0051484C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E560DD" w:rsidRPr="005A77FA" w:rsidTr="00E5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E560DD" w:rsidRPr="0075648A" w:rsidRDefault="00E560DD" w:rsidP="0051484C">
            <w:pPr>
              <w:keepNext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75648A">
              <w:rPr>
                <w:rFonts w:ascii="Arial" w:hAnsi="Arial" w:cs="Arial"/>
                <w:b/>
                <w:szCs w:val="20"/>
              </w:rPr>
              <w:t>PO</w:t>
            </w:r>
            <w:r>
              <w:rPr>
                <w:rFonts w:ascii="Arial" w:hAnsi="Arial" w:cs="Arial"/>
                <w:b/>
                <w:szCs w:val="20"/>
              </w:rPr>
              <w:t>2</w:t>
            </w:r>
          </w:p>
          <w:p w:rsidR="00E560DD" w:rsidRDefault="00E560DD" w:rsidP="0051484C">
            <w:pPr>
              <w:keepNext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575263">
              <w:rPr>
                <w:rFonts w:ascii="Arial" w:hAnsi="Arial" w:cs="Arial"/>
                <w:szCs w:val="20"/>
              </w:rPr>
              <w:t>Buildings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C027C">
              <w:rPr>
                <w:rFonts w:ascii="Arial" w:hAnsi="Arial" w:cs="Arial"/>
                <w:szCs w:val="20"/>
              </w:rPr>
              <w:t>and structures</w:t>
            </w:r>
            <w:r w:rsidRPr="00575263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are </w:t>
            </w:r>
            <w:r w:rsidRPr="00575263">
              <w:rPr>
                <w:rFonts w:ascii="Arial" w:hAnsi="Arial" w:cs="Arial"/>
                <w:szCs w:val="20"/>
              </w:rPr>
              <w:t xml:space="preserve">set back to ensure that they are compatible with the character of the area and do not adversely affect other uses, particularly </w:t>
            </w:r>
            <w:r>
              <w:rPr>
                <w:rFonts w:ascii="Arial" w:hAnsi="Arial" w:cs="Arial"/>
                <w:szCs w:val="20"/>
              </w:rPr>
              <w:t>sensitive land uses</w:t>
            </w:r>
            <w:r w:rsidRPr="00575263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E560DD" w:rsidRPr="0075648A" w:rsidRDefault="00E560DD" w:rsidP="0051484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75648A">
              <w:rPr>
                <w:rFonts w:ascii="Arial" w:hAnsi="Arial" w:cs="Arial"/>
                <w:b/>
                <w:szCs w:val="20"/>
              </w:rPr>
              <w:t>AO</w:t>
            </w:r>
            <w:r>
              <w:rPr>
                <w:rFonts w:ascii="Arial" w:hAnsi="Arial" w:cs="Arial"/>
                <w:b/>
                <w:szCs w:val="20"/>
              </w:rPr>
              <w:t>2.1</w:t>
            </w:r>
          </w:p>
          <w:p w:rsidR="00E560DD" w:rsidRPr="00575263" w:rsidRDefault="00E560DD" w:rsidP="0051484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4F41EF">
              <w:rPr>
                <w:rFonts w:ascii="Arial" w:hAnsi="Arial" w:cs="Arial"/>
                <w:szCs w:val="20"/>
              </w:rPr>
              <w:t>Buildings</w:t>
            </w:r>
            <w:r>
              <w:rPr>
                <w:rFonts w:ascii="Arial" w:hAnsi="Arial" w:cs="Arial"/>
                <w:szCs w:val="20"/>
              </w:rPr>
              <w:t xml:space="preserve"> and structures</w:t>
            </w:r>
            <w:r w:rsidRPr="004F41EF">
              <w:rPr>
                <w:rFonts w:ascii="Arial" w:hAnsi="Arial" w:cs="Arial"/>
                <w:szCs w:val="20"/>
              </w:rPr>
              <w:t xml:space="preserve"> are</w:t>
            </w:r>
            <w:r w:rsidRPr="00575263">
              <w:rPr>
                <w:rFonts w:ascii="Arial" w:hAnsi="Arial" w:cs="Arial"/>
                <w:szCs w:val="20"/>
              </w:rPr>
              <w:t xml:space="preserve"> set back not less than:</w:t>
            </w:r>
          </w:p>
          <w:p w:rsidR="00E560DD" w:rsidRPr="00575263" w:rsidRDefault="00E560DD" w:rsidP="003425EB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eastAsia="en-AU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Pr="00575263">
              <w:rPr>
                <w:rFonts w:ascii="Arial" w:hAnsi="Arial" w:cs="Arial"/>
                <w:szCs w:val="20"/>
              </w:rPr>
              <w:t>a)</w:t>
            </w:r>
            <w:r>
              <w:rPr>
                <w:rFonts w:ascii="Arial" w:hAnsi="Arial" w:cs="Arial"/>
                <w:szCs w:val="20"/>
              </w:rPr>
              <w:tab/>
            </w:r>
            <w:r w:rsidRPr="00575263">
              <w:rPr>
                <w:rFonts w:ascii="Arial" w:hAnsi="Arial" w:cs="Arial"/>
                <w:szCs w:val="20"/>
              </w:rPr>
              <w:t>6 metres from the road frontage/s;</w:t>
            </w:r>
          </w:p>
          <w:p w:rsidR="00E560DD" w:rsidRPr="0075648A" w:rsidRDefault="00E560DD" w:rsidP="003425EB">
            <w:pPr>
              <w:keepNext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eastAsia="en-AU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Pr="00575263">
              <w:rPr>
                <w:rFonts w:ascii="Arial" w:hAnsi="Arial" w:cs="Arial"/>
                <w:szCs w:val="20"/>
              </w:rPr>
              <w:t>b)</w:t>
            </w:r>
            <w:r>
              <w:rPr>
                <w:rFonts w:ascii="Arial" w:hAnsi="Arial" w:cs="Arial"/>
                <w:szCs w:val="20"/>
              </w:rPr>
              <w:tab/>
            </w:r>
            <w:r w:rsidRPr="00575263">
              <w:rPr>
                <w:rFonts w:ascii="Arial" w:hAnsi="Arial" w:cs="Arial"/>
                <w:szCs w:val="20"/>
              </w:rPr>
              <w:t>4.5 metres fro</w:t>
            </w:r>
            <w:r>
              <w:rPr>
                <w:rFonts w:ascii="Arial" w:hAnsi="Arial" w:cs="Arial"/>
                <w:szCs w:val="20"/>
              </w:rPr>
              <w:t>m side and rear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560DD" w:rsidRPr="0075648A" w:rsidRDefault="00E560DD" w:rsidP="0051484C">
            <w:pPr>
              <w:keepNext/>
              <w:rPr>
                <w:rFonts w:ascii="Arial" w:hAnsi="Arial" w:cs="Arial"/>
                <w:b/>
                <w:szCs w:val="20"/>
              </w:rPr>
            </w:pPr>
          </w:p>
        </w:tc>
      </w:tr>
      <w:tr w:rsidR="00E560DD" w:rsidRPr="005A77FA" w:rsidTr="00E560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5A5A5" w:themeColor="accent3"/>
            </w:tcBorders>
          </w:tcPr>
          <w:p w:rsidR="00E560DD" w:rsidRPr="00CB4C0B" w:rsidRDefault="00E560DD" w:rsidP="00D512A4">
            <w:pPr>
              <w:keepNext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CB4C0B">
              <w:rPr>
                <w:rFonts w:ascii="Arial" w:hAnsi="Arial" w:cs="Arial"/>
                <w:b/>
                <w:szCs w:val="20"/>
              </w:rPr>
              <w:t>PO</w:t>
            </w:r>
            <w:r>
              <w:rPr>
                <w:rFonts w:ascii="Arial" w:hAnsi="Arial" w:cs="Arial"/>
                <w:b/>
                <w:szCs w:val="20"/>
              </w:rPr>
              <w:t>3</w:t>
            </w:r>
          </w:p>
          <w:p w:rsidR="00E560DD" w:rsidRPr="0075648A" w:rsidRDefault="00E560DD" w:rsidP="00D512A4">
            <w:pPr>
              <w:keepNext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E475EC">
              <w:rPr>
                <w:rFonts w:ascii="Arial" w:hAnsi="Arial" w:cs="Arial"/>
                <w:szCs w:val="20"/>
              </w:rPr>
              <w:t xml:space="preserve">Car parking areas </w:t>
            </w:r>
            <w:r>
              <w:rPr>
                <w:rFonts w:ascii="Arial" w:hAnsi="Arial" w:cs="Arial"/>
                <w:szCs w:val="20"/>
              </w:rPr>
              <w:t>are</w:t>
            </w:r>
            <w:r w:rsidRPr="00E475E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</w:t>
            </w:r>
            <w:r w:rsidRPr="00E475EC">
              <w:rPr>
                <w:rFonts w:ascii="Arial" w:hAnsi="Arial" w:cs="Arial"/>
                <w:szCs w:val="20"/>
              </w:rPr>
              <w:t>et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E475EC">
              <w:rPr>
                <w:rFonts w:ascii="Arial" w:hAnsi="Arial" w:cs="Arial"/>
                <w:szCs w:val="20"/>
              </w:rPr>
              <w:t>back from the boundaries of the site to ensure a high standard of amenity and to ensure that the amenity of residential land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 w:rsidRPr="00E475EC">
              <w:rPr>
                <w:rFonts w:ascii="Arial" w:hAnsi="Arial" w:cs="Arial"/>
                <w:szCs w:val="20"/>
              </w:rPr>
              <w:t xml:space="preserve">residential uses and </w:t>
            </w:r>
            <w:r>
              <w:rPr>
                <w:rFonts w:ascii="Arial" w:hAnsi="Arial" w:cs="Arial"/>
                <w:szCs w:val="20"/>
              </w:rPr>
              <w:t>sensitive land</w:t>
            </w:r>
            <w:r w:rsidRPr="00E475EC">
              <w:rPr>
                <w:rFonts w:ascii="Arial" w:hAnsi="Arial" w:cs="Arial"/>
                <w:szCs w:val="20"/>
              </w:rPr>
              <w:t xml:space="preserve"> uses are protected.</w:t>
            </w:r>
          </w:p>
        </w:tc>
        <w:tc>
          <w:tcPr>
            <w:tcW w:w="1667" w:type="pct"/>
            <w:tcBorders>
              <w:bottom w:val="single" w:sz="4" w:space="0" w:color="A5A5A5" w:themeColor="accent3"/>
            </w:tcBorders>
          </w:tcPr>
          <w:p w:rsidR="00E560DD" w:rsidRDefault="00E560DD" w:rsidP="00D512A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E475EC">
              <w:rPr>
                <w:rFonts w:ascii="Arial" w:hAnsi="Arial" w:cs="Arial"/>
                <w:b/>
                <w:szCs w:val="20"/>
              </w:rPr>
              <w:t>AO</w:t>
            </w:r>
            <w:r>
              <w:rPr>
                <w:rFonts w:ascii="Arial" w:hAnsi="Arial" w:cs="Arial"/>
                <w:b/>
                <w:szCs w:val="20"/>
              </w:rPr>
              <w:t>3.1</w:t>
            </w:r>
          </w:p>
          <w:p w:rsidR="00E560DD" w:rsidRPr="00E475EC" w:rsidRDefault="00E560DD" w:rsidP="00D512A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4F41EF">
              <w:rPr>
                <w:rFonts w:ascii="Arial" w:hAnsi="Arial" w:cs="Arial"/>
                <w:szCs w:val="20"/>
              </w:rPr>
              <w:t xml:space="preserve">Car </w:t>
            </w:r>
            <w:r w:rsidRPr="00E475EC">
              <w:rPr>
                <w:rFonts w:ascii="Arial" w:hAnsi="Arial" w:cs="Arial"/>
                <w:szCs w:val="20"/>
              </w:rPr>
              <w:t>parking areas are set back</w:t>
            </w:r>
            <w:r>
              <w:rPr>
                <w:rFonts w:ascii="Arial" w:hAnsi="Arial" w:cs="Arial"/>
                <w:szCs w:val="20"/>
              </w:rPr>
              <w:t xml:space="preserve"> not less than 2 metres from all boundaries.</w:t>
            </w:r>
          </w:p>
          <w:p w:rsidR="00E560DD" w:rsidRPr="0075648A" w:rsidRDefault="00E560DD" w:rsidP="00D512A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5A5A5" w:themeColor="accent3"/>
            </w:tcBorders>
          </w:tcPr>
          <w:p w:rsidR="00E560DD" w:rsidRPr="00E475EC" w:rsidRDefault="00E560DD" w:rsidP="00D512A4">
            <w:pPr>
              <w:keepNext/>
              <w:rPr>
                <w:rFonts w:ascii="Arial" w:hAnsi="Arial" w:cs="Arial"/>
                <w:b/>
                <w:szCs w:val="20"/>
              </w:rPr>
            </w:pPr>
          </w:p>
        </w:tc>
      </w:tr>
      <w:tr w:rsidR="00E560DD" w:rsidRPr="005A77FA" w:rsidTr="00E5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E560DD" w:rsidRPr="00E475EC" w:rsidRDefault="00E560DD" w:rsidP="008358B4">
            <w:pPr>
              <w:rPr>
                <w:rFonts w:ascii="Arial" w:hAnsi="Arial" w:cs="Arial"/>
                <w:b/>
                <w:szCs w:val="20"/>
              </w:rPr>
            </w:pPr>
            <w:r w:rsidRPr="00E475EC">
              <w:rPr>
                <w:rFonts w:ascii="Arial" w:hAnsi="Arial" w:cs="Arial"/>
                <w:b/>
                <w:szCs w:val="20"/>
              </w:rPr>
              <w:t>PO</w:t>
            </w:r>
            <w:r>
              <w:rPr>
                <w:rFonts w:ascii="Arial" w:hAnsi="Arial" w:cs="Arial"/>
                <w:b/>
                <w:szCs w:val="20"/>
              </w:rPr>
              <w:t>4</w:t>
            </w:r>
          </w:p>
          <w:p w:rsidR="00E560DD" w:rsidRPr="0075648A" w:rsidRDefault="00E560DD" w:rsidP="00D512A4">
            <w:pPr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E475EC">
              <w:rPr>
                <w:rFonts w:ascii="Arial" w:hAnsi="Arial" w:cs="Arial"/>
                <w:szCs w:val="20"/>
              </w:rPr>
              <w:t xml:space="preserve">The setbacks to car parking areas </w:t>
            </w:r>
            <w:r>
              <w:rPr>
                <w:rFonts w:ascii="Arial" w:hAnsi="Arial" w:cs="Arial"/>
                <w:szCs w:val="20"/>
              </w:rPr>
              <w:t>are</w:t>
            </w:r>
            <w:r w:rsidRPr="00E475EC">
              <w:rPr>
                <w:rFonts w:ascii="Arial" w:hAnsi="Arial" w:cs="Arial"/>
                <w:szCs w:val="20"/>
              </w:rPr>
              <w:t xml:space="preserve"> landscaped to enhance the amenity of the </w:t>
            </w:r>
            <w:r>
              <w:rPr>
                <w:rFonts w:ascii="Arial" w:hAnsi="Arial" w:cs="Arial"/>
                <w:szCs w:val="20"/>
              </w:rPr>
              <w:t>s</w:t>
            </w:r>
            <w:r w:rsidRPr="00E475EC">
              <w:rPr>
                <w:rFonts w:ascii="Arial" w:hAnsi="Arial" w:cs="Arial"/>
                <w:szCs w:val="20"/>
              </w:rPr>
              <w:t xml:space="preserve">ite and to provide a </w:t>
            </w:r>
            <w:r w:rsidRPr="00E475EC">
              <w:rPr>
                <w:rFonts w:ascii="Arial" w:hAnsi="Arial" w:cs="Arial"/>
                <w:szCs w:val="20"/>
              </w:rPr>
              <w:lastRenderedPageBreak/>
              <w:t xml:space="preserve">buffer to residential land, residential uses and </w:t>
            </w:r>
            <w:r>
              <w:rPr>
                <w:rFonts w:ascii="Arial" w:hAnsi="Arial" w:cs="Arial"/>
                <w:szCs w:val="20"/>
              </w:rPr>
              <w:t xml:space="preserve">sensitive land </w:t>
            </w:r>
            <w:r w:rsidRPr="00E475EC">
              <w:rPr>
                <w:rFonts w:ascii="Arial" w:hAnsi="Arial" w:cs="Arial"/>
                <w:szCs w:val="20"/>
              </w:rPr>
              <w:t>uses.</w:t>
            </w:r>
          </w:p>
        </w:tc>
        <w:tc>
          <w:tcPr>
            <w:tcW w:w="1667" w:type="pct"/>
          </w:tcPr>
          <w:p w:rsidR="00E560DD" w:rsidRPr="00E475EC" w:rsidRDefault="00E560DD" w:rsidP="0083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E475EC">
              <w:rPr>
                <w:rFonts w:ascii="Arial" w:hAnsi="Arial" w:cs="Arial"/>
                <w:b/>
                <w:szCs w:val="20"/>
              </w:rPr>
              <w:lastRenderedPageBreak/>
              <w:t>AO</w:t>
            </w:r>
            <w:r>
              <w:rPr>
                <w:rFonts w:ascii="Arial" w:hAnsi="Arial" w:cs="Arial"/>
                <w:b/>
                <w:szCs w:val="20"/>
              </w:rPr>
              <w:t>4.1</w:t>
            </w:r>
          </w:p>
          <w:p w:rsidR="00E560DD" w:rsidRPr="0075648A" w:rsidRDefault="00E560DD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E475EC">
              <w:rPr>
                <w:rFonts w:ascii="Arial" w:hAnsi="Arial" w:cs="Arial"/>
                <w:szCs w:val="20"/>
              </w:rPr>
              <w:t>The setback between the road frontage/s and the car parking area is</w:t>
            </w:r>
            <w:r>
              <w:rPr>
                <w:rFonts w:ascii="Arial" w:hAnsi="Arial" w:cs="Arial"/>
                <w:szCs w:val="20"/>
              </w:rPr>
              <w:t xml:space="preserve"> landscaped in accordance with </w:t>
            </w:r>
            <w:r>
              <w:rPr>
                <w:rFonts w:ascii="Arial" w:hAnsi="Arial" w:cs="Arial"/>
                <w:szCs w:val="20"/>
              </w:rPr>
              <w:lastRenderedPageBreak/>
              <w:t>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560DD" w:rsidRPr="00E475EC" w:rsidRDefault="00E560DD" w:rsidP="008358B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560DD" w:rsidRPr="005A77FA" w:rsidTr="00E560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E560DD" w:rsidRPr="00E475EC" w:rsidRDefault="00E560DD" w:rsidP="008358B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67" w:type="pct"/>
          </w:tcPr>
          <w:p w:rsidR="00E560DD" w:rsidRPr="00E475EC" w:rsidRDefault="00E560DD" w:rsidP="00C6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E475EC">
              <w:rPr>
                <w:rFonts w:ascii="Arial" w:hAnsi="Arial" w:cs="Arial"/>
                <w:b/>
                <w:szCs w:val="20"/>
              </w:rPr>
              <w:t>AO</w:t>
            </w:r>
            <w:r>
              <w:rPr>
                <w:rFonts w:ascii="Arial" w:hAnsi="Arial" w:cs="Arial"/>
                <w:b/>
                <w:szCs w:val="20"/>
              </w:rPr>
              <w:t>4.2</w:t>
            </w:r>
          </w:p>
          <w:p w:rsidR="00E560DD" w:rsidRDefault="00E560DD" w:rsidP="00C6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E475EC">
              <w:rPr>
                <w:rFonts w:ascii="Arial" w:hAnsi="Arial" w:cs="Arial"/>
                <w:szCs w:val="20"/>
              </w:rPr>
              <w:t xml:space="preserve">The setback between the boundary with land included in a </w:t>
            </w:r>
            <w:r>
              <w:rPr>
                <w:rFonts w:ascii="Arial" w:hAnsi="Arial" w:cs="Arial"/>
                <w:szCs w:val="20"/>
              </w:rPr>
              <w:t>r</w:t>
            </w:r>
            <w:r w:rsidRPr="00E475EC">
              <w:rPr>
                <w:rFonts w:ascii="Arial" w:hAnsi="Arial" w:cs="Arial"/>
                <w:szCs w:val="20"/>
              </w:rPr>
              <w:t>esidential zone and the car parking area is landscaped</w:t>
            </w:r>
            <w:r>
              <w:rPr>
                <w:rFonts w:ascii="Arial" w:hAnsi="Arial" w:cs="Arial"/>
                <w:szCs w:val="20"/>
              </w:rPr>
              <w:t xml:space="preserve"> in accordance with the Landscaping code </w:t>
            </w:r>
            <w:r w:rsidRPr="00E475EC">
              <w:rPr>
                <w:rFonts w:ascii="Arial" w:hAnsi="Arial" w:cs="Arial"/>
                <w:szCs w:val="20"/>
              </w:rPr>
              <w:t>to provide a buffer to the residential land.</w:t>
            </w:r>
          </w:p>
          <w:p w:rsidR="00E560DD" w:rsidRDefault="00E560DD" w:rsidP="00C6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:rsidR="00E560DD" w:rsidRPr="00E475EC" w:rsidRDefault="00E560DD" w:rsidP="00C6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Note – refer to the definition of Residential zones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560DD" w:rsidRPr="00E475EC" w:rsidRDefault="00E560DD" w:rsidP="00C67D3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560DD" w:rsidRPr="002C79EE" w:rsidTr="00E5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560DD" w:rsidRDefault="00E560DD" w:rsidP="008358B4">
            <w:pPr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E560DD" w:rsidRPr="002C79EE" w:rsidTr="00E560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560DD" w:rsidRDefault="00E560DD" w:rsidP="008358B4">
            <w:pPr>
              <w:rPr>
                <w:rStyle w:val="Strong"/>
              </w:rPr>
            </w:pPr>
            <w:r>
              <w:rPr>
                <w:rStyle w:val="Strong"/>
              </w:rPr>
              <w:t xml:space="preserve">Uses and other development </w:t>
            </w:r>
          </w:p>
        </w:tc>
      </w:tr>
      <w:tr w:rsidR="00E560DD" w:rsidRPr="00C67D3A" w:rsidTr="00E5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E560DD" w:rsidRPr="00C67D3A" w:rsidRDefault="00E560DD" w:rsidP="008358B4">
            <w:pPr>
              <w:rPr>
                <w:rFonts w:ascii="Arial" w:hAnsi="Arial" w:cs="Arial"/>
                <w:b/>
                <w:szCs w:val="20"/>
              </w:rPr>
            </w:pPr>
            <w:r w:rsidRPr="00C67D3A">
              <w:rPr>
                <w:rFonts w:ascii="Arial" w:hAnsi="Arial" w:cs="Arial"/>
                <w:b/>
                <w:szCs w:val="20"/>
              </w:rPr>
              <w:t>PO</w:t>
            </w:r>
            <w:r>
              <w:rPr>
                <w:rFonts w:ascii="Arial" w:hAnsi="Arial" w:cs="Arial"/>
                <w:b/>
                <w:szCs w:val="20"/>
              </w:rPr>
              <w:t>5</w:t>
            </w:r>
          </w:p>
          <w:p w:rsidR="00E560DD" w:rsidRPr="00C67D3A" w:rsidRDefault="00E560DD" w:rsidP="008358B4">
            <w:pPr>
              <w:rPr>
                <w:rFonts w:ascii="Arial" w:hAnsi="Arial" w:cs="Arial"/>
                <w:szCs w:val="20"/>
                <w:highlight w:val="lightGray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E560DD" w:rsidRPr="00C67D3A" w:rsidRDefault="00E560DD" w:rsidP="0083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C67D3A">
              <w:rPr>
                <w:rFonts w:ascii="Arial" w:hAnsi="Arial" w:cs="Arial"/>
                <w:b/>
                <w:szCs w:val="20"/>
              </w:rPr>
              <w:t>AO5.1</w:t>
            </w:r>
          </w:p>
          <w:p w:rsidR="00E560DD" w:rsidRPr="00C67D3A" w:rsidRDefault="00E560DD" w:rsidP="00C25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highlight w:val="lightGray"/>
              </w:rPr>
            </w:pPr>
            <w:r>
              <w:rPr>
                <w:rFonts w:ascii="Arial" w:hAnsi="Arial"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560DD" w:rsidRPr="00C67D3A" w:rsidRDefault="00E560DD" w:rsidP="008358B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560DD" w:rsidRPr="00C67D3A" w:rsidTr="00E560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E560DD" w:rsidRDefault="00E560DD" w:rsidP="008358B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Site constraints</w:t>
            </w:r>
          </w:p>
        </w:tc>
      </w:tr>
      <w:tr w:rsidR="00E560DD" w:rsidRPr="00C67D3A" w:rsidTr="00E5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E560DD" w:rsidRPr="00FC5724" w:rsidRDefault="00E560DD" w:rsidP="00D97F62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E560DD" w:rsidRPr="00666E8C" w:rsidRDefault="00E560DD" w:rsidP="00D97F62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E560DD" w:rsidRPr="00666E8C" w:rsidRDefault="00E560DD" w:rsidP="00D97F62"/>
          <w:p w:rsidR="00E560DD" w:rsidRPr="00C67D3A" w:rsidRDefault="00E560DD" w:rsidP="008358B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sz w:val="16"/>
                <w:szCs w:val="16"/>
              </w:rPr>
              <w:t>Note -</w:t>
            </w:r>
            <w:r w:rsidRPr="00666E8C">
              <w:rPr>
                <w:sz w:val="16"/>
                <w:szCs w:val="16"/>
              </w:rPr>
              <w:t xml:space="preserve"> Planning 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E560DD" w:rsidRPr="00FC5724" w:rsidRDefault="00E560DD" w:rsidP="00D97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E560DD" w:rsidRPr="00C67D3A" w:rsidRDefault="00E560DD" w:rsidP="0083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560DD" w:rsidRPr="00FC5724" w:rsidRDefault="00E560DD" w:rsidP="00D97F62">
            <w:pPr>
              <w:rPr>
                <w:rFonts w:cs="Arial"/>
                <w:b/>
                <w:szCs w:val="20"/>
              </w:rPr>
            </w:pPr>
          </w:p>
        </w:tc>
      </w:tr>
    </w:tbl>
    <w:p w:rsidR="00A01B33" w:rsidRDefault="00A01B33">
      <w:pPr>
        <w:rPr>
          <w:rFonts w:asciiTheme="majorHAnsi" w:eastAsiaTheme="majorEastAsia" w:hAnsiTheme="majorHAnsi" w:cstheme="majorBidi"/>
          <w:color w:val="000000" w:themeColor="text1"/>
          <w:sz w:val="24"/>
          <w:highlight w:val="lightGray"/>
        </w:rPr>
      </w:pPr>
    </w:p>
    <w:sectPr w:rsidR="00A01B33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EB" w:rsidRDefault="005C03EB">
      <w:pPr>
        <w:spacing w:after="0" w:line="240" w:lineRule="auto"/>
      </w:pPr>
      <w:r>
        <w:separator/>
      </w:r>
    </w:p>
  </w:endnote>
  <w:endnote w:type="continuationSeparator" w:id="0">
    <w:p w:rsidR="005C03EB" w:rsidRDefault="005C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4DD8D15C" wp14:editId="11E48879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07543977" wp14:editId="452D43DA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107CB9" w:rsidRDefault="00107CB9" w:rsidP="00752C94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E560DD" w:rsidRPr="00E560DD">
              <w:rPr>
                <w:color w:val="0064A7"/>
                <w:sz w:val="16"/>
                <w:szCs w:val="16"/>
              </w:rPr>
              <w:t>6.2.20</w:t>
            </w:r>
            <w:r w:rsidR="00E560DD" w:rsidRPr="00E560DD">
              <w:rPr>
                <w:color w:val="0064A7"/>
                <w:sz w:val="16"/>
                <w:szCs w:val="16"/>
              </w:rPr>
              <w:tab/>
            </w:r>
            <w:r w:rsidR="00E560DD">
              <w:rPr>
                <w:color w:val="0064A7"/>
                <w:sz w:val="16"/>
                <w:szCs w:val="16"/>
              </w:rPr>
              <w:t xml:space="preserve"> </w:t>
            </w:r>
            <w:r w:rsidR="00E560DD" w:rsidRPr="00E560DD">
              <w:rPr>
                <w:color w:val="0064A7"/>
                <w:sz w:val="16"/>
                <w:szCs w:val="16"/>
              </w:rPr>
              <w:t>Special purpose zone code</w:t>
            </w:r>
            <w:r>
              <w:rPr>
                <w:color w:val="0064A7"/>
                <w:sz w:val="16"/>
                <w:szCs w:val="16"/>
              </w:rPr>
              <w:t xml:space="preserve">           </w:t>
            </w:r>
            <w:r w:rsidR="00E560DD">
              <w:rPr>
                <w:color w:val="0064A7"/>
                <w:sz w:val="16"/>
                <w:szCs w:val="16"/>
              </w:rPr>
              <w:t xml:space="preserve">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FB35A8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="00752C94">
              <w:rPr>
                <w:color w:val="0064A7"/>
                <w:sz w:val="16"/>
                <w:szCs w:val="16"/>
              </w:rPr>
              <w:t xml:space="preserve">  CairnsPlan 2016 Version 2.</w:t>
            </w:r>
            <w:r w:rsidR="00E65A0F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E65A0F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E65A0F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EB" w:rsidRDefault="005C03EB">
      <w:pPr>
        <w:spacing w:after="0" w:line="240" w:lineRule="auto"/>
      </w:pPr>
      <w:r>
        <w:separator/>
      </w:r>
    </w:p>
  </w:footnote>
  <w:footnote w:type="continuationSeparator" w:id="0">
    <w:p w:rsidR="005C03EB" w:rsidRDefault="005C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295881B1" wp14:editId="43743EA3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5D93DD29" wp14:editId="0C9867F5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F18E7E92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11B1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65DDE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03EB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2C94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5765C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0DD"/>
    <w:rsid w:val="00E56489"/>
    <w:rsid w:val="00E61BBE"/>
    <w:rsid w:val="00E62257"/>
    <w:rsid w:val="00E62F1C"/>
    <w:rsid w:val="00E65A0F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B35A8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6EEF70"/>
  <w15:docId w15:val="{2179A93D-790A-4DAD-8922-27B8513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E7616A-4512-48D9-B352-8F8E9130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2016-02-26T05:17:00Z</dcterms:created>
  <dcterms:modified xsi:type="dcterms:W3CDTF">2019-10-31T23:02:00Z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