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5D" w:rsidRPr="005A77FA" w:rsidRDefault="00546B5D" w:rsidP="00060BA3">
      <w:pPr>
        <w:pStyle w:val="Heading3"/>
        <w:numPr>
          <w:ilvl w:val="2"/>
          <w:numId w:val="64"/>
        </w:numPr>
      </w:pPr>
      <w:r>
        <w:t>Emerging community zone</w:t>
      </w:r>
      <w:r w:rsidR="00EF2241">
        <w:t xml:space="preserve"> code</w:t>
      </w:r>
    </w:p>
    <w:p w:rsidR="00546B5D" w:rsidRPr="005A77FA" w:rsidRDefault="00546B5D" w:rsidP="00546B5D">
      <w:pPr>
        <w:pStyle w:val="Heading4"/>
      </w:pPr>
      <w:r w:rsidRPr="005A77FA">
        <w:t>Application</w:t>
      </w:r>
    </w:p>
    <w:p w:rsidR="00546B5D" w:rsidRPr="001A3591" w:rsidRDefault="00546B5D" w:rsidP="001A3591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szCs w:val="20"/>
        </w:rPr>
      </w:pPr>
      <w:r w:rsidRPr="005A77FA">
        <w:rPr>
          <w:rFonts w:ascii="Arial" w:eastAsia="Times New Roman" w:hAnsi="Arial" w:cs="Arial"/>
          <w:szCs w:val="20"/>
        </w:rPr>
        <w:t>This code applie</w:t>
      </w:r>
      <w:r>
        <w:rPr>
          <w:rFonts w:ascii="Arial" w:eastAsia="Times New Roman" w:hAnsi="Arial" w:cs="Arial"/>
          <w:szCs w:val="20"/>
        </w:rPr>
        <w:t xml:space="preserve">s to </w:t>
      </w:r>
      <w:r w:rsidR="006A7002">
        <w:rPr>
          <w:rFonts w:ascii="Arial" w:eastAsia="Times New Roman" w:hAnsi="Arial" w:cs="Arial"/>
          <w:szCs w:val="20"/>
        </w:rPr>
        <w:t xml:space="preserve">assessing development in the </w:t>
      </w:r>
      <w:r w:rsidR="00516070">
        <w:rPr>
          <w:rFonts w:ascii="Arial" w:eastAsia="Times New Roman" w:hAnsi="Arial" w:cs="Arial"/>
          <w:szCs w:val="20"/>
        </w:rPr>
        <w:t xml:space="preserve">Emerging </w:t>
      </w:r>
      <w:r>
        <w:rPr>
          <w:rFonts w:ascii="Arial" w:eastAsia="Times New Roman" w:hAnsi="Arial" w:cs="Arial"/>
          <w:szCs w:val="20"/>
        </w:rPr>
        <w:t>community zone</w:t>
      </w:r>
      <w:r w:rsidRPr="005A77FA">
        <w:rPr>
          <w:rFonts w:ascii="Arial" w:eastAsia="Times New Roman" w:hAnsi="Arial" w:cs="Arial"/>
          <w:szCs w:val="20"/>
        </w:rPr>
        <w:t>.</w:t>
      </w:r>
    </w:p>
    <w:p w:rsidR="00546B5D" w:rsidRPr="005A77FA" w:rsidRDefault="00546B5D" w:rsidP="001A3591">
      <w:pPr>
        <w:pStyle w:val="ListParagraph"/>
        <w:spacing w:after="0"/>
        <w:ind w:left="567"/>
        <w:rPr>
          <w:rFonts w:ascii="Arial" w:eastAsia="Times New Roman" w:hAnsi="Arial" w:cs="Arial"/>
          <w:szCs w:val="20"/>
        </w:rPr>
      </w:pPr>
    </w:p>
    <w:p w:rsidR="00546B5D" w:rsidRPr="005A77FA" w:rsidRDefault="00546B5D" w:rsidP="001A3591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szCs w:val="20"/>
        </w:rPr>
      </w:pPr>
      <w:r w:rsidRPr="005A77FA">
        <w:rPr>
          <w:rFonts w:ascii="Arial" w:eastAsia="Times New Roman" w:hAnsi="Arial" w:cs="Arial"/>
          <w:szCs w:val="20"/>
        </w:rPr>
        <w:t xml:space="preserve">When using this code, reference should be made to </w:t>
      </w:r>
      <w:r>
        <w:rPr>
          <w:rFonts w:ascii="Arial" w:eastAsia="Times New Roman" w:hAnsi="Arial" w:cs="Arial"/>
          <w:szCs w:val="20"/>
        </w:rPr>
        <w:t>Part 5.</w:t>
      </w:r>
    </w:p>
    <w:p w:rsidR="00546B5D" w:rsidRPr="005A77FA" w:rsidRDefault="00546B5D" w:rsidP="00546B5D">
      <w:pPr>
        <w:pStyle w:val="Heading4"/>
      </w:pPr>
      <w:r w:rsidRPr="005A77FA">
        <w:t xml:space="preserve">Purpose </w:t>
      </w:r>
    </w:p>
    <w:p w:rsidR="00546B5D" w:rsidRPr="00546B5D" w:rsidRDefault="00546B5D" w:rsidP="004848FB">
      <w:pPr>
        <w:pStyle w:val="ListParagraph"/>
        <w:numPr>
          <w:ilvl w:val="0"/>
          <w:numId w:val="41"/>
        </w:numPr>
        <w:spacing w:after="0"/>
        <w:rPr>
          <w:rFonts w:ascii="Arial" w:eastAsia="Times New Roman" w:hAnsi="Arial" w:cs="Arial"/>
          <w:szCs w:val="20"/>
        </w:rPr>
      </w:pPr>
      <w:r w:rsidRPr="00546B5D">
        <w:rPr>
          <w:rFonts w:ascii="Arial" w:eastAsia="Times New Roman" w:hAnsi="Arial" w:cs="Arial"/>
          <w:szCs w:val="20"/>
        </w:rPr>
        <w:t>The purpose of the Emerging community zone code is to:</w:t>
      </w:r>
    </w:p>
    <w:p w:rsidR="00546B5D" w:rsidRPr="00546B5D" w:rsidRDefault="00CF36CC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i</w:t>
      </w:r>
      <w:r w:rsidR="00546B5D" w:rsidRPr="00546B5D">
        <w:rPr>
          <w:rFonts w:ascii="Arial" w:eastAsia="Times New Roman" w:hAnsi="Arial" w:cs="Arial"/>
          <w:szCs w:val="20"/>
        </w:rPr>
        <w:t xml:space="preserve">dentify land that is suitable for urban purposes and </w:t>
      </w:r>
      <w:r w:rsidR="00071C97">
        <w:rPr>
          <w:rFonts w:ascii="Arial" w:eastAsia="Times New Roman" w:hAnsi="Arial" w:cs="Arial"/>
          <w:szCs w:val="20"/>
        </w:rPr>
        <w:t>protect</w:t>
      </w:r>
      <w:r w:rsidR="00071C97" w:rsidRPr="00546B5D">
        <w:rPr>
          <w:rFonts w:ascii="Arial" w:eastAsia="Times New Roman" w:hAnsi="Arial" w:cs="Arial"/>
          <w:szCs w:val="20"/>
        </w:rPr>
        <w:t xml:space="preserve"> </w:t>
      </w:r>
      <w:r w:rsidR="00546B5D" w:rsidRPr="00546B5D">
        <w:rPr>
          <w:rFonts w:ascii="Arial" w:eastAsia="Times New Roman" w:hAnsi="Arial" w:cs="Arial"/>
          <w:szCs w:val="20"/>
        </w:rPr>
        <w:t>land that may be suitable for urban development in the future;</w:t>
      </w:r>
    </w:p>
    <w:p w:rsidR="00546B5D" w:rsidRPr="00546B5D" w:rsidRDefault="00CF36CC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</w:t>
      </w:r>
      <w:r w:rsidR="00546B5D" w:rsidRPr="00546B5D">
        <w:rPr>
          <w:rFonts w:ascii="Arial" w:eastAsia="Times New Roman" w:hAnsi="Arial" w:cs="Arial"/>
          <w:szCs w:val="20"/>
        </w:rPr>
        <w:t>anage the timely conversion of non-urban land to urban purposes;</w:t>
      </w:r>
    </w:p>
    <w:p w:rsidR="00546B5D" w:rsidRPr="00546B5D" w:rsidRDefault="00CF36CC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p</w:t>
      </w:r>
      <w:r w:rsidR="00546B5D" w:rsidRPr="00546B5D">
        <w:rPr>
          <w:rFonts w:ascii="Arial" w:eastAsia="Times New Roman" w:hAnsi="Arial" w:cs="Arial"/>
          <w:szCs w:val="20"/>
        </w:rPr>
        <w:t>revent or discourage development that is likely to compromise appropriate longer term land use.</w:t>
      </w:r>
    </w:p>
    <w:p w:rsidR="00546B5D" w:rsidRPr="00546B5D" w:rsidRDefault="00546B5D" w:rsidP="00CB4F54">
      <w:pPr>
        <w:spacing w:after="0"/>
        <w:ind w:left="709" w:firstLine="75"/>
        <w:rPr>
          <w:rFonts w:ascii="Arial" w:eastAsia="Times New Roman" w:hAnsi="Arial" w:cs="Arial"/>
          <w:szCs w:val="20"/>
        </w:rPr>
      </w:pPr>
    </w:p>
    <w:p w:rsidR="00570804" w:rsidRPr="003E39DB" w:rsidRDefault="00570804" w:rsidP="004848FB">
      <w:pPr>
        <w:pStyle w:val="ListParagraph"/>
        <w:numPr>
          <w:ilvl w:val="0"/>
          <w:numId w:val="41"/>
        </w:numPr>
        <w:spacing w:after="0"/>
        <w:rPr>
          <w:rFonts w:ascii="Arial" w:eastAsia="Times New Roman" w:hAnsi="Arial" w:cs="Arial"/>
          <w:szCs w:val="20"/>
        </w:rPr>
      </w:pPr>
      <w:bookmarkStart w:id="0" w:name="_Ref363476027"/>
      <w:r w:rsidRPr="005E45C7">
        <w:rPr>
          <w:rFonts w:ascii="Arial" w:eastAsia="Times New Roman" w:hAnsi="Arial" w:cs="Arial"/>
          <w:szCs w:val="20"/>
        </w:rPr>
        <w:t xml:space="preserve">The local </w:t>
      </w:r>
      <w:r w:rsidRPr="00C22F59">
        <w:rPr>
          <w:rFonts w:ascii="Arial" w:eastAsia="Times New Roman" w:hAnsi="Arial" w:cs="Arial"/>
          <w:szCs w:val="20"/>
        </w:rPr>
        <w:t>government purpose of the code is to:</w:t>
      </w:r>
    </w:p>
    <w:p w:rsidR="00570804" w:rsidRPr="000646E9" w:rsidRDefault="00CF36CC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 w:rsidRPr="000646E9">
        <w:rPr>
          <w:rFonts w:ascii="Arial" w:eastAsia="Times New Roman" w:hAnsi="Arial" w:cs="Arial"/>
          <w:szCs w:val="20"/>
        </w:rPr>
        <w:t>a</w:t>
      </w:r>
      <w:r w:rsidR="00570804" w:rsidRPr="000646E9">
        <w:rPr>
          <w:rFonts w:ascii="Arial" w:eastAsia="Times New Roman" w:hAnsi="Arial" w:cs="Arial"/>
          <w:szCs w:val="20"/>
        </w:rPr>
        <w:t>llocate land suitable for urban purposes, where a degree of flexibility is necessary to determine a suitable pattern of development and to meet future needs of emerging communities;</w:t>
      </w:r>
    </w:p>
    <w:p w:rsidR="00570804" w:rsidRPr="000646E9" w:rsidRDefault="00CF36CC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 w:rsidRPr="000646E9">
        <w:rPr>
          <w:rFonts w:ascii="Arial" w:eastAsia="Times New Roman" w:hAnsi="Arial" w:cs="Arial"/>
          <w:szCs w:val="20"/>
        </w:rPr>
        <w:t>r</w:t>
      </w:r>
      <w:r w:rsidR="00570804" w:rsidRPr="000646E9">
        <w:rPr>
          <w:rFonts w:ascii="Arial" w:eastAsia="Times New Roman" w:hAnsi="Arial" w:cs="Arial"/>
          <w:szCs w:val="20"/>
        </w:rPr>
        <w:t xml:space="preserve">ecognise that </w:t>
      </w:r>
      <w:r w:rsidR="00790C10" w:rsidRPr="000646E9">
        <w:rPr>
          <w:rFonts w:ascii="Arial" w:eastAsia="Times New Roman" w:hAnsi="Arial" w:cs="Arial"/>
          <w:szCs w:val="20"/>
        </w:rPr>
        <w:t>some land within</w:t>
      </w:r>
      <w:r w:rsidR="00570804" w:rsidRPr="000646E9">
        <w:rPr>
          <w:rFonts w:ascii="Arial" w:eastAsia="Times New Roman" w:hAnsi="Arial" w:cs="Arial"/>
          <w:szCs w:val="20"/>
        </w:rPr>
        <w:t xml:space="preserve"> the zone </w:t>
      </w:r>
      <w:r w:rsidR="00790C10" w:rsidRPr="000646E9">
        <w:rPr>
          <w:rFonts w:ascii="Arial" w:eastAsia="Times New Roman" w:hAnsi="Arial" w:cs="Arial"/>
          <w:szCs w:val="20"/>
        </w:rPr>
        <w:t xml:space="preserve">is </w:t>
      </w:r>
      <w:r w:rsidR="00570804" w:rsidRPr="000646E9">
        <w:rPr>
          <w:rFonts w:ascii="Arial" w:eastAsia="Times New Roman" w:hAnsi="Arial" w:cs="Arial"/>
          <w:szCs w:val="20"/>
        </w:rPr>
        <w:t xml:space="preserve">subject to constraints that may make </w:t>
      </w:r>
      <w:r w:rsidR="00790C10" w:rsidRPr="000646E9">
        <w:rPr>
          <w:rFonts w:ascii="Arial" w:eastAsia="Times New Roman" w:hAnsi="Arial" w:cs="Arial"/>
          <w:szCs w:val="20"/>
        </w:rPr>
        <w:t>it</w:t>
      </w:r>
      <w:r w:rsidR="00570804" w:rsidRPr="000646E9">
        <w:rPr>
          <w:rFonts w:ascii="Arial" w:eastAsia="Times New Roman" w:hAnsi="Arial" w:cs="Arial"/>
          <w:szCs w:val="20"/>
        </w:rPr>
        <w:t xml:space="preserve"> unsuitable for urban development;</w:t>
      </w:r>
    </w:p>
    <w:p w:rsidR="00570804" w:rsidRPr="000646E9" w:rsidRDefault="00CF36CC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 w:rsidRPr="000646E9">
        <w:rPr>
          <w:rFonts w:ascii="Arial" w:eastAsia="Times New Roman" w:hAnsi="Arial" w:cs="Arial"/>
          <w:szCs w:val="20"/>
        </w:rPr>
        <w:t>p</w:t>
      </w:r>
      <w:r w:rsidR="00570804" w:rsidRPr="000646E9">
        <w:rPr>
          <w:rFonts w:ascii="Arial" w:eastAsia="Times New Roman" w:hAnsi="Arial" w:cs="Arial"/>
          <w:szCs w:val="20"/>
        </w:rPr>
        <w:t>rovide for the sequential delivery of infrastructure to meet the needs of future communities.</w:t>
      </w:r>
    </w:p>
    <w:p w:rsidR="00570804" w:rsidRPr="003B087A" w:rsidRDefault="00570804" w:rsidP="00CB4F54">
      <w:pPr>
        <w:spacing w:after="0"/>
        <w:ind w:left="709" w:hanging="709"/>
        <w:rPr>
          <w:rFonts w:ascii="Arial" w:eastAsia="Times New Roman" w:hAnsi="Arial" w:cs="Arial"/>
          <w:color w:val="000000"/>
          <w:szCs w:val="20"/>
        </w:rPr>
      </w:pPr>
    </w:p>
    <w:p w:rsidR="00570804" w:rsidRPr="000646E9" w:rsidRDefault="00570804" w:rsidP="004848FB">
      <w:pPr>
        <w:pStyle w:val="ListParagraph"/>
        <w:numPr>
          <w:ilvl w:val="0"/>
          <w:numId w:val="41"/>
        </w:numPr>
        <w:spacing w:after="0"/>
        <w:rPr>
          <w:rFonts w:ascii="Arial" w:eastAsia="Times New Roman" w:hAnsi="Arial" w:cs="Arial"/>
          <w:szCs w:val="20"/>
        </w:rPr>
      </w:pPr>
      <w:r w:rsidRPr="000646E9">
        <w:rPr>
          <w:rFonts w:ascii="Arial" w:eastAsia="Times New Roman" w:hAnsi="Arial" w:cs="Arial"/>
          <w:szCs w:val="20"/>
        </w:rPr>
        <w:t>The purpose of the code will be achieved through the following overall outcomes:</w:t>
      </w:r>
    </w:p>
    <w:p w:rsidR="00570804" w:rsidRDefault="00CF36CC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 w:rsidRPr="000646E9">
        <w:rPr>
          <w:rFonts w:ascii="Arial" w:eastAsia="Times New Roman" w:hAnsi="Arial" w:cs="Arial"/>
          <w:szCs w:val="20"/>
        </w:rPr>
        <w:t>l</w:t>
      </w:r>
      <w:r w:rsidR="00570804" w:rsidRPr="000646E9">
        <w:rPr>
          <w:rFonts w:ascii="Arial" w:eastAsia="Times New Roman" w:hAnsi="Arial" w:cs="Arial"/>
          <w:szCs w:val="20"/>
        </w:rPr>
        <w:t xml:space="preserve">and is developed in an orderly sequence providing </w:t>
      </w:r>
      <w:r w:rsidR="009D1A9E">
        <w:rPr>
          <w:rFonts w:ascii="Arial" w:eastAsia="Times New Roman" w:hAnsi="Arial" w:cs="Arial"/>
          <w:szCs w:val="20"/>
        </w:rPr>
        <w:t xml:space="preserve">physical, social and cultural </w:t>
      </w:r>
      <w:r w:rsidR="00570804" w:rsidRPr="000646E9">
        <w:rPr>
          <w:rFonts w:ascii="Arial" w:eastAsia="Times New Roman" w:hAnsi="Arial" w:cs="Arial"/>
          <w:szCs w:val="20"/>
        </w:rPr>
        <w:t>infrastructure to meet the needs of the emerging community;</w:t>
      </w:r>
    </w:p>
    <w:p w:rsidR="00570804" w:rsidRDefault="00CF36CC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570804" w:rsidRPr="00291E12">
        <w:rPr>
          <w:rFonts w:ascii="Arial" w:eastAsia="Times New Roman" w:hAnsi="Arial" w:cs="Arial"/>
          <w:szCs w:val="20"/>
        </w:rPr>
        <w:t>evelopment contributes to an integrated and coordinated community and provides a structure that considers future development, infrastructure provision</w:t>
      </w:r>
      <w:r w:rsidR="00022417">
        <w:rPr>
          <w:rFonts w:ascii="Arial" w:eastAsia="Times New Roman" w:hAnsi="Arial" w:cs="Arial"/>
          <w:szCs w:val="20"/>
        </w:rPr>
        <w:t xml:space="preserve"> and</w:t>
      </w:r>
      <w:r w:rsidR="00022417" w:rsidRPr="00291E12">
        <w:rPr>
          <w:rFonts w:ascii="Arial" w:eastAsia="Times New Roman" w:hAnsi="Arial" w:cs="Arial"/>
          <w:szCs w:val="20"/>
        </w:rPr>
        <w:t xml:space="preserve"> </w:t>
      </w:r>
      <w:r w:rsidR="00570804" w:rsidRPr="00291E12">
        <w:rPr>
          <w:rFonts w:ascii="Arial" w:eastAsia="Times New Roman" w:hAnsi="Arial" w:cs="Arial"/>
          <w:szCs w:val="20"/>
        </w:rPr>
        <w:t>land use allocations</w:t>
      </w:r>
      <w:r w:rsidR="00570804">
        <w:rPr>
          <w:rFonts w:ascii="Arial" w:eastAsia="Times New Roman" w:hAnsi="Arial" w:cs="Arial"/>
          <w:szCs w:val="20"/>
        </w:rPr>
        <w:t>;</w:t>
      </w:r>
      <w:bookmarkStart w:id="1" w:name="_GoBack"/>
      <w:bookmarkEnd w:id="1"/>
    </w:p>
    <w:p w:rsidR="00570804" w:rsidRDefault="00CF36CC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570804">
        <w:rPr>
          <w:rFonts w:ascii="Arial" w:eastAsia="Times New Roman" w:hAnsi="Arial" w:cs="Arial"/>
          <w:szCs w:val="20"/>
        </w:rPr>
        <w:t xml:space="preserve">evelopment is carried out in accordance with a </w:t>
      </w:r>
      <w:r w:rsidR="00570804" w:rsidRPr="000646E9">
        <w:rPr>
          <w:rFonts w:ascii="Arial" w:eastAsia="Times New Roman" w:hAnsi="Arial" w:cs="Arial"/>
          <w:szCs w:val="20"/>
        </w:rPr>
        <w:t>structure plan that integrates land use</w:t>
      </w:r>
      <w:r w:rsidR="00982BCF" w:rsidRPr="000646E9">
        <w:rPr>
          <w:rFonts w:ascii="Arial" w:eastAsia="Times New Roman" w:hAnsi="Arial" w:cs="Arial"/>
          <w:szCs w:val="20"/>
        </w:rPr>
        <w:t>,</w:t>
      </w:r>
      <w:r w:rsidR="00570804" w:rsidRPr="000646E9">
        <w:rPr>
          <w:rFonts w:ascii="Arial" w:eastAsia="Times New Roman" w:hAnsi="Arial" w:cs="Arial"/>
          <w:szCs w:val="20"/>
        </w:rPr>
        <w:t xml:space="preserve"> infrastructure and the sequencing of development within more discrete areas of the zone;</w:t>
      </w:r>
      <w:r w:rsidR="00570804" w:rsidDel="001C77C9">
        <w:rPr>
          <w:rFonts w:ascii="Arial" w:eastAsia="Times New Roman" w:hAnsi="Arial" w:cs="Arial"/>
          <w:szCs w:val="20"/>
        </w:rPr>
        <w:t xml:space="preserve"> </w:t>
      </w:r>
    </w:p>
    <w:p w:rsidR="00570804" w:rsidRDefault="00CF36CC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570804">
        <w:rPr>
          <w:rFonts w:ascii="Arial" w:eastAsia="Times New Roman" w:hAnsi="Arial" w:cs="Arial"/>
          <w:szCs w:val="20"/>
        </w:rPr>
        <w:t>evelopment of land affected by overlays meets the outcomes of the relevant overlay code</w:t>
      </w:r>
      <w:r w:rsidR="00982BCF">
        <w:rPr>
          <w:rFonts w:ascii="Arial" w:eastAsia="Times New Roman" w:hAnsi="Arial" w:cs="Arial"/>
          <w:szCs w:val="20"/>
        </w:rPr>
        <w:t>s</w:t>
      </w:r>
      <w:r w:rsidR="00570804">
        <w:rPr>
          <w:rFonts w:ascii="Arial" w:eastAsia="Times New Roman" w:hAnsi="Arial" w:cs="Arial"/>
          <w:szCs w:val="20"/>
        </w:rPr>
        <w:t>;</w:t>
      </w:r>
    </w:p>
    <w:p w:rsidR="00C22F59" w:rsidRPr="000646E9" w:rsidRDefault="00CF36CC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 w:rsidRPr="000646E9">
        <w:rPr>
          <w:rFonts w:ascii="Arial" w:eastAsia="Times New Roman" w:hAnsi="Arial" w:cs="Arial"/>
          <w:szCs w:val="20"/>
        </w:rPr>
        <w:t>d</w:t>
      </w:r>
      <w:r w:rsidR="00570804" w:rsidRPr="000646E9">
        <w:rPr>
          <w:rFonts w:ascii="Arial" w:eastAsia="Times New Roman" w:hAnsi="Arial" w:cs="Arial"/>
          <w:szCs w:val="20"/>
        </w:rPr>
        <w:t>evelopment is not established where it would constrain future urban development or be in conflict with the efficient expansion of urban areas</w:t>
      </w:r>
      <w:r w:rsidR="00C22F59" w:rsidRPr="000646E9">
        <w:rPr>
          <w:rFonts w:ascii="Arial" w:eastAsia="Times New Roman" w:hAnsi="Arial" w:cs="Arial"/>
          <w:szCs w:val="20"/>
        </w:rPr>
        <w:t>;</w:t>
      </w:r>
    </w:p>
    <w:p w:rsidR="00570804" w:rsidRPr="000646E9" w:rsidRDefault="00C22F59" w:rsidP="004848FB">
      <w:pPr>
        <w:pStyle w:val="ListParagraph"/>
        <w:numPr>
          <w:ilvl w:val="1"/>
          <w:numId w:val="41"/>
        </w:numPr>
        <w:spacing w:after="0"/>
        <w:rPr>
          <w:rFonts w:ascii="Arial" w:eastAsia="Times New Roman" w:hAnsi="Arial" w:cs="Arial"/>
          <w:szCs w:val="20"/>
        </w:rPr>
      </w:pPr>
      <w:r w:rsidRPr="000646E9">
        <w:rPr>
          <w:rFonts w:ascii="Arial" w:eastAsia="Times New Roman" w:hAnsi="Arial" w:cs="Arial"/>
          <w:szCs w:val="20"/>
        </w:rPr>
        <w:t xml:space="preserve">development reflects and responds to the natural features and constraints of the land. </w:t>
      </w:r>
    </w:p>
    <w:p w:rsidR="00A92DD0" w:rsidRDefault="00A92DD0" w:rsidP="00CB4F54">
      <w:pPr>
        <w:spacing w:after="0"/>
        <w:rPr>
          <w:rFonts w:asciiTheme="majorHAnsi" w:eastAsiaTheme="majorEastAsia" w:hAnsiTheme="majorHAnsi" w:cstheme="majorBidi"/>
          <w:b/>
          <w:bCs/>
          <w:iCs/>
          <w:color w:val="000000" w:themeColor="text1"/>
        </w:rPr>
      </w:pPr>
      <w:bookmarkStart w:id="2" w:name="_Ref363636602"/>
      <w:r>
        <w:br w:type="page"/>
      </w:r>
    </w:p>
    <w:p w:rsidR="00546B5D" w:rsidRPr="005A77FA" w:rsidRDefault="00546B5D" w:rsidP="00546B5D">
      <w:pPr>
        <w:pStyle w:val="Heading4"/>
      </w:pPr>
      <w:bookmarkStart w:id="3" w:name="_Ref395105524"/>
      <w:r>
        <w:lastRenderedPageBreak/>
        <w:t>Criteria for a</w:t>
      </w:r>
      <w:r w:rsidRPr="005A77FA">
        <w:t>ssessment</w:t>
      </w:r>
      <w:bookmarkEnd w:id="0"/>
      <w:bookmarkEnd w:id="2"/>
      <w:bookmarkEnd w:id="3"/>
      <w:r w:rsidRPr="005A77FA">
        <w:t xml:space="preserve"> </w:t>
      </w:r>
    </w:p>
    <w:p w:rsidR="00546B5D" w:rsidRPr="00BF128E" w:rsidRDefault="00546B5D" w:rsidP="00546B5D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 w:rsidR="008C6727">
        <w:rPr>
          <w:rFonts w:ascii="Arial" w:eastAsia="Times New Roman" w:hAnsi="Arial" w:cs="Arial"/>
          <w:szCs w:val="20"/>
        </w:rPr>
        <w:t xml:space="preserve">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546B5D" w:rsidRPr="005A77FA" w:rsidRDefault="00546B5D" w:rsidP="00546B5D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546B5D" w:rsidRPr="005A77FA" w:rsidRDefault="00546B5D" w:rsidP="00546B5D">
      <w:pPr>
        <w:pStyle w:val="Caption"/>
      </w:pPr>
      <w:r>
        <w:t xml:space="preserve">Table </w:t>
      </w:r>
      <w:r w:rsidR="00A1263D">
        <w:fldChar w:fldCharType="begin"/>
      </w:r>
      <w:r w:rsidR="00A1263D">
        <w:instrText xml:space="preserve"> REF _Ref395105524 \r \h </w:instrText>
      </w:r>
      <w:r w:rsidR="00A1263D">
        <w:fldChar w:fldCharType="separate"/>
      </w:r>
      <w:r w:rsidR="00CF44F9">
        <w:t>6.2.4.3</w:t>
      </w:r>
      <w:r w:rsidR="00A1263D">
        <w:fldChar w:fldCharType="end"/>
      </w:r>
      <w:r w:rsidR="003C3F7F">
        <w:t>.</w:t>
      </w:r>
      <w:r>
        <w:t>a</w:t>
      </w:r>
      <w:r w:rsidRPr="005A77FA">
        <w:t xml:space="preserve"> </w:t>
      </w:r>
      <w:r>
        <w:t>–</w:t>
      </w:r>
      <w:r w:rsidR="00206E90">
        <w:t xml:space="preserve"> </w:t>
      </w:r>
      <w:r>
        <w:t xml:space="preserve">Emerging community zone </w:t>
      </w:r>
      <w:r w:rsidR="00C86856">
        <w:t xml:space="preserve">code </w:t>
      </w:r>
      <w:r>
        <w:t xml:space="preserve">– </w:t>
      </w:r>
      <w:r w:rsidR="008C6727">
        <w:t xml:space="preserve">self-assessable and </w:t>
      </w:r>
      <w:r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060BA3" w:rsidRPr="005A77FA" w:rsidTr="00060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60BA3" w:rsidRPr="005A77FA" w:rsidRDefault="00060BA3" w:rsidP="00CB4F54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60BA3" w:rsidRPr="005A77FA" w:rsidRDefault="00060BA3" w:rsidP="00CB4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60BA3" w:rsidRPr="005A77FA" w:rsidRDefault="00060BA3" w:rsidP="00CB4F54">
            <w:r>
              <w:t>Applicant response</w:t>
            </w:r>
          </w:p>
        </w:tc>
      </w:tr>
      <w:tr w:rsidR="00060BA3" w:rsidRPr="006F6F35" w:rsidTr="00060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60BA3" w:rsidRPr="00621988" w:rsidRDefault="00060BA3" w:rsidP="00CB4F54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</w:t>
            </w:r>
            <w:r w:rsidRPr="00621988">
              <w:rPr>
                <w:b/>
              </w:rPr>
              <w:t>assessable development</w:t>
            </w:r>
          </w:p>
        </w:tc>
      </w:tr>
      <w:tr w:rsidR="00060BA3" w:rsidRPr="002C79EE" w:rsidTr="00060B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60BA3" w:rsidRDefault="00060BA3" w:rsidP="00CB4F54">
            <w:pPr>
              <w:rPr>
                <w:rStyle w:val="Strong"/>
              </w:rPr>
            </w:pPr>
            <w:r>
              <w:rPr>
                <w:rStyle w:val="Strong"/>
              </w:rPr>
              <w:t>Development not in a structure plan area</w:t>
            </w:r>
          </w:p>
        </w:tc>
      </w:tr>
      <w:tr w:rsidR="00060BA3" w:rsidRPr="002C79EE" w:rsidTr="00060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60BA3" w:rsidRDefault="00060BA3" w:rsidP="00CB4F54">
            <w:pPr>
              <w:rPr>
                <w:rStyle w:val="Strong"/>
              </w:rPr>
            </w:pPr>
            <w:r>
              <w:rPr>
                <w:rStyle w:val="Strong"/>
              </w:rPr>
              <w:t xml:space="preserve">Height </w:t>
            </w:r>
          </w:p>
        </w:tc>
      </w:tr>
      <w:tr w:rsidR="00060BA3" w:rsidRPr="005A77FA" w:rsidTr="00060BA3">
        <w:trPr>
          <w:trHeight w:val="1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60BA3" w:rsidRPr="00A9161D" w:rsidRDefault="00060BA3" w:rsidP="00CB4F54">
            <w:pPr>
              <w:rPr>
                <w:rFonts w:eastAsia="Calibri" w:cs="Arial"/>
                <w:b/>
                <w:szCs w:val="20"/>
              </w:rPr>
            </w:pPr>
            <w:r w:rsidRPr="00A9161D">
              <w:rPr>
                <w:rFonts w:eastAsia="Calibri" w:cs="Arial"/>
                <w:b/>
                <w:szCs w:val="20"/>
              </w:rPr>
              <w:t>PO</w:t>
            </w:r>
            <w:r>
              <w:rPr>
                <w:rFonts w:eastAsia="Calibri" w:cs="Arial"/>
                <w:b/>
                <w:szCs w:val="20"/>
              </w:rPr>
              <w:t>1</w:t>
            </w:r>
          </w:p>
          <w:p w:rsidR="00060BA3" w:rsidRDefault="00060BA3" w:rsidP="00CB4F54">
            <w:pPr>
              <w:rPr>
                <w:rFonts w:eastAsia="Calibri" w:cs="Arial"/>
                <w:szCs w:val="20"/>
              </w:rPr>
            </w:pPr>
            <w:r w:rsidRPr="00A9161D">
              <w:rPr>
                <w:rFonts w:eastAsia="Calibri" w:cs="Arial"/>
                <w:szCs w:val="20"/>
              </w:rPr>
              <w:t xml:space="preserve">The height of all buildings </w:t>
            </w:r>
            <w:r>
              <w:rPr>
                <w:rFonts w:eastAsia="Calibri" w:cs="Arial"/>
                <w:szCs w:val="20"/>
              </w:rPr>
              <w:t xml:space="preserve">and structures is </w:t>
            </w:r>
            <w:r w:rsidRPr="00A9161D">
              <w:rPr>
                <w:rFonts w:eastAsia="Calibri" w:cs="Arial"/>
                <w:szCs w:val="20"/>
              </w:rPr>
              <w:t xml:space="preserve">in keeping with the rural character </w:t>
            </w:r>
            <w:r>
              <w:rPr>
                <w:rFonts w:eastAsia="Calibri" w:cs="Arial"/>
                <w:szCs w:val="20"/>
              </w:rPr>
              <w:t xml:space="preserve">and amenity </w:t>
            </w:r>
            <w:r w:rsidRPr="00A9161D">
              <w:rPr>
                <w:rFonts w:eastAsia="Calibri" w:cs="Arial"/>
                <w:szCs w:val="20"/>
              </w:rPr>
              <w:t>of the</w:t>
            </w:r>
            <w:r>
              <w:rPr>
                <w:rFonts w:eastAsia="Calibri" w:cs="Arial"/>
                <w:szCs w:val="20"/>
              </w:rPr>
              <w:t xml:space="preserve"> area.</w:t>
            </w:r>
            <w:r w:rsidRPr="00A9161D">
              <w:rPr>
                <w:rFonts w:eastAsia="Calibri" w:cs="Arial"/>
                <w:szCs w:val="20"/>
              </w:rPr>
              <w:t xml:space="preserve"> </w:t>
            </w:r>
          </w:p>
          <w:p w:rsidR="00060BA3" w:rsidRDefault="00060BA3" w:rsidP="00CB4F54">
            <w:pPr>
              <w:rPr>
                <w:rFonts w:eastAsia="Calibri" w:cs="Arial"/>
                <w:szCs w:val="20"/>
              </w:rPr>
            </w:pPr>
          </w:p>
          <w:p w:rsidR="00060BA3" w:rsidRDefault="00060BA3" w:rsidP="00E305E7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060BA3" w:rsidRDefault="00060BA3" w:rsidP="00E305E7">
            <w:pPr>
              <w:rPr>
                <w:sz w:val="16"/>
                <w:szCs w:val="16"/>
              </w:rPr>
            </w:pPr>
          </w:p>
          <w:p w:rsidR="00060BA3" w:rsidRPr="00A9161D" w:rsidRDefault="00060BA3" w:rsidP="00E305E7">
            <w:pPr>
              <w:rPr>
                <w:rFonts w:eastAsia="Calibri" w:cs="Arial"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setbacks stated in AO2.1 correspond with the height stated in AO1.1.  Where a proposed development exceeds the height stated in AO1.1, the proposed development will also be assessed against PO2.</w:t>
            </w:r>
          </w:p>
        </w:tc>
        <w:tc>
          <w:tcPr>
            <w:tcW w:w="1667" w:type="pct"/>
          </w:tcPr>
          <w:p w:rsidR="00060BA3" w:rsidRPr="00206E90" w:rsidRDefault="00060BA3" w:rsidP="00CB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 w:rsidRPr="00206E90">
              <w:rPr>
                <w:rFonts w:eastAsia="Calibri" w:cs="Arial"/>
                <w:b/>
                <w:szCs w:val="20"/>
              </w:rPr>
              <w:t>AO1.1</w:t>
            </w:r>
          </w:p>
          <w:p w:rsidR="00060BA3" w:rsidRPr="00206E90" w:rsidRDefault="00060BA3" w:rsidP="00CB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  <w:r w:rsidRPr="00206E90">
              <w:rPr>
                <w:rFonts w:eastAsia="Calibri" w:cs="Arial"/>
                <w:szCs w:val="20"/>
              </w:rPr>
              <w:t xml:space="preserve">Buildings and structures are not more than 8.5 metres and </w:t>
            </w:r>
            <w:r>
              <w:rPr>
                <w:rFonts w:eastAsia="Calibri" w:cs="Arial"/>
                <w:szCs w:val="20"/>
              </w:rPr>
              <w:t>2</w:t>
            </w:r>
            <w:r w:rsidRPr="00206E90">
              <w:rPr>
                <w:rFonts w:eastAsia="Calibri" w:cs="Arial"/>
                <w:szCs w:val="20"/>
              </w:rPr>
              <w:t xml:space="preserve"> storeys in height. </w:t>
            </w:r>
          </w:p>
          <w:p w:rsidR="00060BA3" w:rsidRPr="00206E90" w:rsidRDefault="00060BA3" w:rsidP="00CB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  <w:p w:rsidR="00060BA3" w:rsidRPr="00206E90" w:rsidRDefault="00060BA3" w:rsidP="00E3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 – </w:t>
            </w:r>
            <w:r w:rsidRPr="00206E90">
              <w:rPr>
                <w:rFonts w:ascii="Arial" w:hAnsi="Arial" w:cs="Arial"/>
                <w:sz w:val="16"/>
                <w:szCs w:val="16"/>
              </w:rPr>
              <w:t>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6E90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60BA3" w:rsidRPr="00206E90" w:rsidRDefault="00060BA3" w:rsidP="00CB4F54">
            <w:pPr>
              <w:rPr>
                <w:rFonts w:eastAsia="Calibri" w:cs="Arial"/>
                <w:b/>
                <w:szCs w:val="20"/>
              </w:rPr>
            </w:pPr>
          </w:p>
        </w:tc>
      </w:tr>
      <w:tr w:rsidR="00060BA3" w:rsidRPr="002C79EE" w:rsidTr="00060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60BA3" w:rsidRDefault="00060BA3" w:rsidP="00CB4F5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060BA3" w:rsidRPr="005A77FA" w:rsidTr="00060B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60BA3" w:rsidRPr="00A9161D" w:rsidRDefault="00060BA3" w:rsidP="00CB4F54">
            <w:pPr>
              <w:keepNext/>
              <w:rPr>
                <w:rFonts w:eastAsia="Calibri" w:cs="Arial"/>
                <w:b/>
                <w:szCs w:val="20"/>
                <w:lang w:eastAsia="en-AU"/>
              </w:rPr>
            </w:pPr>
            <w:r w:rsidRPr="00A9161D">
              <w:rPr>
                <w:rFonts w:eastAsia="Calibri" w:cs="Arial"/>
                <w:b/>
                <w:szCs w:val="20"/>
              </w:rPr>
              <w:t>PO</w:t>
            </w:r>
            <w:r>
              <w:rPr>
                <w:rFonts w:eastAsia="Calibri" w:cs="Arial"/>
                <w:b/>
                <w:szCs w:val="20"/>
              </w:rPr>
              <w:t>2</w:t>
            </w:r>
            <w:r w:rsidRPr="00A9161D">
              <w:rPr>
                <w:rFonts w:eastAsia="Calibri" w:cs="Arial"/>
                <w:b/>
                <w:szCs w:val="20"/>
              </w:rPr>
              <w:t xml:space="preserve"> </w:t>
            </w:r>
          </w:p>
          <w:p w:rsidR="00060BA3" w:rsidRPr="00A9161D" w:rsidRDefault="00060BA3" w:rsidP="00CB4F54">
            <w:pPr>
              <w:keepNext/>
              <w:rPr>
                <w:rFonts w:eastAsia="Calibri" w:cs="Arial"/>
                <w:szCs w:val="20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 xml:space="preserve">Buildings and structures </w:t>
            </w:r>
            <w:r>
              <w:rPr>
                <w:rFonts w:eastAsia="Calibri" w:cs="Arial"/>
                <w:szCs w:val="20"/>
              </w:rPr>
              <w:t xml:space="preserve">are </w:t>
            </w:r>
            <w:r w:rsidRPr="00A9161D">
              <w:rPr>
                <w:rFonts w:eastAsia="Calibri" w:cs="Arial"/>
                <w:szCs w:val="20"/>
              </w:rPr>
              <w:t>set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A9161D">
              <w:rPr>
                <w:rFonts w:eastAsia="Calibri" w:cs="Arial"/>
                <w:szCs w:val="20"/>
              </w:rPr>
              <w:t>back to:</w:t>
            </w:r>
          </w:p>
          <w:p w:rsidR="00060BA3" w:rsidRPr="00A9161D" w:rsidRDefault="00060BA3" w:rsidP="00CB4F54">
            <w:pPr>
              <w:keepNext/>
              <w:ind w:left="426" w:hanging="426"/>
              <w:rPr>
                <w:rFonts w:eastAsia="Calibri" w:cs="Arial"/>
                <w:szCs w:val="20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>(a)</w:t>
            </w:r>
            <w:r w:rsidRPr="00A9161D">
              <w:rPr>
                <w:rFonts w:eastAsia="Calibri" w:cs="Arial"/>
                <w:szCs w:val="20"/>
              </w:rPr>
              <w:tab/>
              <w:t xml:space="preserve">maintain the rural character </w:t>
            </w:r>
            <w:r>
              <w:rPr>
                <w:rFonts w:eastAsia="Calibri" w:cs="Arial"/>
                <w:szCs w:val="20"/>
              </w:rPr>
              <w:t xml:space="preserve">and amenity </w:t>
            </w:r>
            <w:r w:rsidRPr="00A9161D">
              <w:rPr>
                <w:rFonts w:eastAsia="Calibri" w:cs="Arial"/>
                <w:szCs w:val="20"/>
              </w:rPr>
              <w:t xml:space="preserve">of the area; </w:t>
            </w:r>
          </w:p>
          <w:p w:rsidR="00060BA3" w:rsidRPr="00A9161D" w:rsidRDefault="00060BA3" w:rsidP="00CB4F54">
            <w:pPr>
              <w:keepNext/>
              <w:ind w:left="426" w:hanging="426"/>
              <w:rPr>
                <w:rFonts w:eastAsia="Calibri" w:cs="Arial"/>
                <w:strike/>
                <w:szCs w:val="20"/>
                <w:highlight w:val="lightGray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>(b)</w:t>
            </w:r>
            <w:r w:rsidRPr="00A9161D">
              <w:rPr>
                <w:rFonts w:eastAsia="Calibri" w:cs="Arial"/>
                <w:szCs w:val="20"/>
              </w:rPr>
              <w:tab/>
              <w:t xml:space="preserve">achieve separation from neighbouring </w:t>
            </w:r>
            <w:r>
              <w:rPr>
                <w:rFonts w:eastAsia="Calibri" w:cs="Arial"/>
                <w:szCs w:val="20"/>
              </w:rPr>
              <w:t>development</w:t>
            </w:r>
            <w:r w:rsidRPr="00A9161D">
              <w:rPr>
                <w:rFonts w:eastAsia="Calibri" w:cs="Arial"/>
                <w:szCs w:val="20"/>
              </w:rPr>
              <w:t xml:space="preserve"> and road frontages.</w:t>
            </w:r>
          </w:p>
        </w:tc>
        <w:tc>
          <w:tcPr>
            <w:tcW w:w="1667" w:type="pct"/>
          </w:tcPr>
          <w:p w:rsidR="00060BA3" w:rsidRPr="00A9161D" w:rsidRDefault="00060BA3" w:rsidP="00CB4F5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Cs w:val="20"/>
                <w:lang w:eastAsia="en-AU"/>
              </w:rPr>
            </w:pPr>
            <w:r w:rsidRPr="00A9161D">
              <w:rPr>
                <w:rFonts w:eastAsia="Calibri" w:cs="Arial"/>
                <w:b/>
                <w:szCs w:val="20"/>
              </w:rPr>
              <w:t>AO</w:t>
            </w:r>
            <w:r>
              <w:rPr>
                <w:rFonts w:eastAsia="Calibri" w:cs="Arial"/>
                <w:b/>
                <w:szCs w:val="20"/>
              </w:rPr>
              <w:t>2.1</w:t>
            </w:r>
          </w:p>
          <w:p w:rsidR="00060BA3" w:rsidRPr="00A9161D" w:rsidRDefault="00060BA3" w:rsidP="00CB4F5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 xml:space="preserve">Buildings </w:t>
            </w:r>
            <w:r>
              <w:rPr>
                <w:rFonts w:eastAsia="Calibri" w:cs="Arial"/>
                <w:szCs w:val="20"/>
              </w:rPr>
              <w:t xml:space="preserve">and structures </w:t>
            </w:r>
            <w:r w:rsidRPr="00A9161D">
              <w:rPr>
                <w:rFonts w:eastAsia="Calibri" w:cs="Arial"/>
                <w:szCs w:val="20"/>
              </w:rPr>
              <w:t>are set back not less than:</w:t>
            </w:r>
          </w:p>
          <w:p w:rsidR="00060BA3" w:rsidRPr="00A9161D" w:rsidRDefault="00060BA3" w:rsidP="00CB4F54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>(a)</w:t>
            </w:r>
            <w:r w:rsidRPr="00A9161D">
              <w:rPr>
                <w:rFonts w:eastAsia="Calibri" w:cs="Arial"/>
                <w:szCs w:val="20"/>
              </w:rPr>
              <w:tab/>
              <w:t>40 metres from the frontage to a State-</w:t>
            </w:r>
            <w:r>
              <w:rPr>
                <w:rFonts w:eastAsia="Calibri" w:cs="Arial"/>
                <w:szCs w:val="20"/>
              </w:rPr>
              <w:t>c</w:t>
            </w:r>
            <w:r w:rsidRPr="00A9161D">
              <w:rPr>
                <w:rFonts w:eastAsia="Calibri" w:cs="Arial"/>
                <w:szCs w:val="20"/>
              </w:rPr>
              <w:t xml:space="preserve">ontrolled </w:t>
            </w:r>
            <w:r>
              <w:rPr>
                <w:rFonts w:eastAsia="Calibri" w:cs="Arial"/>
                <w:szCs w:val="20"/>
              </w:rPr>
              <w:t>r</w:t>
            </w:r>
            <w:r w:rsidRPr="00A9161D">
              <w:rPr>
                <w:rFonts w:eastAsia="Calibri" w:cs="Arial"/>
                <w:szCs w:val="20"/>
              </w:rPr>
              <w:t>oad</w:t>
            </w:r>
            <w:r>
              <w:rPr>
                <w:rFonts w:eastAsia="Calibri" w:cs="Arial"/>
                <w:szCs w:val="20"/>
              </w:rPr>
              <w:t>;</w:t>
            </w:r>
          </w:p>
          <w:p w:rsidR="00060BA3" w:rsidRDefault="00060BA3" w:rsidP="00CB4F54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>(</w:t>
            </w:r>
            <w:r>
              <w:rPr>
                <w:rFonts w:eastAsia="Calibri" w:cs="Arial"/>
                <w:szCs w:val="20"/>
              </w:rPr>
              <w:t>b</w:t>
            </w:r>
            <w:r w:rsidRPr="00A9161D">
              <w:rPr>
                <w:rFonts w:eastAsia="Calibri" w:cs="Arial"/>
                <w:szCs w:val="20"/>
              </w:rPr>
              <w:t>)</w:t>
            </w:r>
            <w:r w:rsidRPr="00A9161D">
              <w:rPr>
                <w:rFonts w:eastAsia="Calibri" w:cs="Arial"/>
                <w:szCs w:val="20"/>
              </w:rPr>
              <w:tab/>
              <w:t xml:space="preserve">10 metres </w:t>
            </w:r>
            <w:r w:rsidRPr="00D976F5">
              <w:rPr>
                <w:rFonts w:eastAsia="Calibri" w:cs="Arial"/>
                <w:color w:val="000000"/>
                <w:szCs w:val="20"/>
              </w:rPr>
              <w:t>from</w:t>
            </w:r>
            <w:r w:rsidRPr="00A9161D">
              <w:rPr>
                <w:rFonts w:eastAsia="Calibri" w:cs="Arial"/>
                <w:szCs w:val="20"/>
              </w:rPr>
              <w:t xml:space="preserve"> the frontage to a </w:t>
            </w:r>
            <w:r>
              <w:rPr>
                <w:rFonts w:eastAsia="Calibri" w:cs="Arial"/>
                <w:szCs w:val="20"/>
              </w:rPr>
              <w:t>Major rural road;</w:t>
            </w:r>
          </w:p>
          <w:p w:rsidR="00060BA3" w:rsidRPr="00D976F5" w:rsidRDefault="00060BA3" w:rsidP="00CB4F54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trike/>
                <w:color w:val="000000"/>
                <w:szCs w:val="20"/>
                <w:lang w:eastAsia="en-AU"/>
              </w:rPr>
            </w:pPr>
            <w:r>
              <w:rPr>
                <w:rFonts w:eastAsia="Calibri" w:cs="Arial"/>
                <w:szCs w:val="20"/>
              </w:rPr>
              <w:t>(c)</w:t>
            </w:r>
            <w:r>
              <w:rPr>
                <w:rFonts w:eastAsia="Calibri" w:cs="Arial"/>
                <w:szCs w:val="20"/>
              </w:rPr>
              <w:tab/>
              <w:t>6 metres from any other road</w:t>
            </w:r>
            <w:r>
              <w:rPr>
                <w:rFonts w:eastAsia="Calibri" w:cs="Arial"/>
                <w:color w:val="000000"/>
                <w:szCs w:val="20"/>
              </w:rPr>
              <w:t>;</w:t>
            </w:r>
            <w:r w:rsidRPr="00D976F5">
              <w:rPr>
                <w:rFonts w:eastAsia="Calibri" w:cs="Arial"/>
                <w:color w:val="000000"/>
                <w:szCs w:val="20"/>
              </w:rPr>
              <w:t xml:space="preserve">  </w:t>
            </w:r>
          </w:p>
          <w:p w:rsidR="00060BA3" w:rsidRPr="00A9161D" w:rsidRDefault="00060BA3" w:rsidP="00CB4F54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  <w:highlight w:val="lightGray"/>
                <w:lang w:eastAsia="en-AU"/>
              </w:rPr>
            </w:pPr>
            <w:r w:rsidRPr="00A9161D">
              <w:rPr>
                <w:rFonts w:eastAsia="Calibri" w:cs="Arial"/>
                <w:szCs w:val="20"/>
              </w:rPr>
              <w:t>(</w:t>
            </w:r>
            <w:r>
              <w:rPr>
                <w:rFonts w:eastAsia="Calibri" w:cs="Arial"/>
                <w:szCs w:val="20"/>
              </w:rPr>
              <w:t>d</w:t>
            </w:r>
            <w:r w:rsidRPr="00A9161D">
              <w:rPr>
                <w:rFonts w:eastAsia="Calibri" w:cs="Arial"/>
                <w:szCs w:val="20"/>
              </w:rPr>
              <w:t>)</w:t>
            </w:r>
            <w:r w:rsidRPr="00A9161D">
              <w:rPr>
                <w:rFonts w:eastAsia="Calibri" w:cs="Arial"/>
                <w:szCs w:val="20"/>
              </w:rPr>
              <w:tab/>
              <w:t>6 metres from the side and rear boundaries of the 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60BA3" w:rsidRPr="00A9161D" w:rsidRDefault="00060BA3" w:rsidP="00CB4F54">
            <w:pPr>
              <w:keepNext/>
              <w:rPr>
                <w:rFonts w:eastAsia="Calibri" w:cs="Arial"/>
                <w:b/>
                <w:szCs w:val="20"/>
              </w:rPr>
            </w:pPr>
          </w:p>
        </w:tc>
      </w:tr>
      <w:tr w:rsidR="00060BA3" w:rsidRPr="002C79EE" w:rsidTr="00060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60BA3" w:rsidRDefault="00060BA3" w:rsidP="00CB4F54">
            <w:pPr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060BA3" w:rsidRPr="002C79EE" w:rsidTr="00060B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60BA3" w:rsidRDefault="00060BA3" w:rsidP="00CB4F54">
            <w:pPr>
              <w:rPr>
                <w:rStyle w:val="Strong"/>
              </w:rPr>
            </w:pPr>
            <w:r>
              <w:rPr>
                <w:rStyle w:val="Strong"/>
              </w:rPr>
              <w:t>Structure planning</w:t>
            </w:r>
          </w:p>
        </w:tc>
      </w:tr>
      <w:tr w:rsidR="00060BA3" w:rsidRPr="005A77FA" w:rsidTr="00060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60BA3" w:rsidRPr="004C5909" w:rsidRDefault="00060BA3" w:rsidP="00CF44F9">
            <w:pPr>
              <w:widowControl w:val="0"/>
              <w:ind w:left="540" w:right="76" w:hanging="540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lastRenderedPageBreak/>
              <w:t>PO3</w:t>
            </w:r>
          </w:p>
          <w:p w:rsidR="00060BA3" w:rsidRPr="004C5909" w:rsidRDefault="00060BA3" w:rsidP="00CF44F9">
            <w:pPr>
              <w:widowControl w:val="0"/>
              <w:ind w:right="74"/>
              <w:rPr>
                <w:rFonts w:ascii="Arial" w:eastAsia="Times New Roman" w:hAnsi="Arial" w:cs="Arial"/>
                <w:szCs w:val="20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 xml:space="preserve">A structure plan is prepared outlining the manner in which the development outcomes have been integrated with respect to the following, including </w:t>
            </w:r>
            <w:r>
              <w:rPr>
                <w:rFonts w:ascii="Arial" w:eastAsia="Times New Roman" w:hAnsi="Arial" w:cs="Arial"/>
                <w:szCs w:val="20"/>
              </w:rPr>
              <w:t xml:space="preserve">any </w:t>
            </w:r>
            <w:r w:rsidRPr="004C5909">
              <w:rPr>
                <w:rFonts w:ascii="Arial" w:eastAsia="Times New Roman" w:hAnsi="Arial" w:cs="Arial"/>
                <w:szCs w:val="20"/>
              </w:rPr>
              <w:t>precinct specific outcomes:</w:t>
            </w:r>
          </w:p>
          <w:p w:rsidR="00060BA3" w:rsidRDefault="00060BA3" w:rsidP="00CF44F9">
            <w:pPr>
              <w:widowControl w:val="0"/>
              <w:ind w:left="426" w:right="76" w:hanging="426"/>
              <w:rPr>
                <w:rFonts w:ascii="Arial" w:eastAsia="Times New Roman" w:hAnsi="Arial" w:cs="Arial"/>
                <w:szCs w:val="20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>(a)</w:t>
            </w:r>
            <w:r w:rsidRPr="004C5909">
              <w:rPr>
                <w:rFonts w:ascii="Arial" w:eastAsia="Times New Roman" w:hAnsi="Arial" w:cs="Arial"/>
                <w:szCs w:val="20"/>
              </w:rPr>
              <w:tab/>
            </w:r>
            <w:r>
              <w:rPr>
                <w:rFonts w:ascii="Arial" w:eastAsia="Times New Roman" w:hAnsi="Arial" w:cs="Arial"/>
                <w:szCs w:val="20"/>
              </w:rPr>
              <w:t>development sequencing;</w:t>
            </w:r>
          </w:p>
          <w:p w:rsidR="00060BA3" w:rsidRPr="004C5909" w:rsidRDefault="00060BA3" w:rsidP="00CF44F9">
            <w:pPr>
              <w:widowControl w:val="0"/>
              <w:ind w:left="426" w:right="76" w:hanging="426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(b)</w:t>
            </w:r>
            <w:r>
              <w:rPr>
                <w:rFonts w:ascii="Arial" w:eastAsia="Times New Roman" w:hAnsi="Arial" w:cs="Arial"/>
                <w:szCs w:val="20"/>
              </w:rPr>
              <w:tab/>
            </w:r>
            <w:r w:rsidRPr="004C5909">
              <w:rPr>
                <w:rFonts w:ascii="Arial" w:eastAsia="Times New Roman" w:hAnsi="Arial" w:cs="Arial"/>
                <w:szCs w:val="20"/>
              </w:rPr>
              <w:t>structure of communities and place making;</w:t>
            </w:r>
          </w:p>
          <w:p w:rsidR="00060BA3" w:rsidRPr="004C5909" w:rsidRDefault="00060BA3" w:rsidP="00CF44F9">
            <w:pPr>
              <w:widowControl w:val="0"/>
              <w:ind w:left="426" w:right="76" w:hanging="426"/>
              <w:rPr>
                <w:rFonts w:ascii="Arial" w:eastAsia="Times New Roman" w:hAnsi="Arial" w:cs="Arial"/>
                <w:szCs w:val="20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>(</w:t>
            </w:r>
            <w:r>
              <w:rPr>
                <w:rFonts w:ascii="Arial" w:eastAsia="Times New Roman" w:hAnsi="Arial" w:cs="Arial"/>
                <w:szCs w:val="20"/>
              </w:rPr>
              <w:t>c</w:t>
            </w:r>
            <w:r w:rsidRPr="004C5909">
              <w:rPr>
                <w:rFonts w:ascii="Arial" w:eastAsia="Times New Roman" w:hAnsi="Arial" w:cs="Arial"/>
                <w:szCs w:val="20"/>
              </w:rPr>
              <w:t>)</w:t>
            </w:r>
            <w:r w:rsidRPr="004C5909">
              <w:rPr>
                <w:rFonts w:ascii="Arial" w:eastAsia="Times New Roman" w:hAnsi="Arial" w:cs="Arial"/>
                <w:szCs w:val="20"/>
              </w:rPr>
              <w:tab/>
              <w:t>economic development and employment;</w:t>
            </w:r>
          </w:p>
          <w:p w:rsidR="00060BA3" w:rsidRPr="004C5909" w:rsidRDefault="00060BA3" w:rsidP="00CF44F9">
            <w:pPr>
              <w:widowControl w:val="0"/>
              <w:ind w:left="426" w:right="76" w:hanging="426"/>
              <w:rPr>
                <w:rFonts w:ascii="Arial" w:eastAsia="Times New Roman" w:hAnsi="Arial" w:cs="Arial"/>
                <w:szCs w:val="20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>(</w:t>
            </w:r>
            <w:r>
              <w:rPr>
                <w:rFonts w:ascii="Arial" w:eastAsia="Times New Roman" w:hAnsi="Arial" w:cs="Arial"/>
                <w:szCs w:val="20"/>
              </w:rPr>
              <w:t>d</w:t>
            </w:r>
            <w:r w:rsidRPr="004C5909">
              <w:rPr>
                <w:rFonts w:ascii="Arial" w:eastAsia="Times New Roman" w:hAnsi="Arial" w:cs="Arial"/>
                <w:szCs w:val="20"/>
              </w:rPr>
              <w:t>)</w:t>
            </w:r>
            <w:r w:rsidRPr="004C5909">
              <w:rPr>
                <w:rFonts w:ascii="Arial" w:eastAsia="Times New Roman" w:hAnsi="Arial" w:cs="Arial"/>
                <w:szCs w:val="20"/>
              </w:rPr>
              <w:tab/>
              <w:t>housing diversity;</w:t>
            </w:r>
          </w:p>
          <w:p w:rsidR="00060BA3" w:rsidRDefault="00060BA3" w:rsidP="00CF44F9">
            <w:pPr>
              <w:widowControl w:val="0"/>
              <w:ind w:left="426" w:right="76" w:hanging="426"/>
              <w:rPr>
                <w:rFonts w:ascii="Arial" w:eastAsia="Times New Roman" w:hAnsi="Arial" w:cs="Arial"/>
                <w:szCs w:val="20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>(</w:t>
            </w:r>
            <w:r>
              <w:rPr>
                <w:rFonts w:ascii="Arial" w:eastAsia="Times New Roman" w:hAnsi="Arial" w:cs="Arial"/>
                <w:szCs w:val="20"/>
              </w:rPr>
              <w:t>e</w:t>
            </w:r>
            <w:r w:rsidRPr="004C5909">
              <w:rPr>
                <w:rFonts w:ascii="Arial" w:eastAsia="Times New Roman" w:hAnsi="Arial" w:cs="Arial"/>
                <w:szCs w:val="20"/>
              </w:rPr>
              <w:t>)</w:t>
            </w:r>
            <w:r w:rsidRPr="004C5909">
              <w:rPr>
                <w:rFonts w:ascii="Arial" w:eastAsia="Times New Roman" w:hAnsi="Arial" w:cs="Arial"/>
                <w:szCs w:val="20"/>
              </w:rPr>
              <w:tab/>
              <w:t>transport and mobility;</w:t>
            </w:r>
          </w:p>
          <w:p w:rsidR="00060BA3" w:rsidRPr="004C5909" w:rsidRDefault="00060BA3" w:rsidP="00CF44F9">
            <w:pPr>
              <w:widowControl w:val="0"/>
              <w:ind w:left="426" w:right="76" w:hanging="426"/>
              <w:rPr>
                <w:rFonts w:ascii="Arial" w:eastAsia="Times New Roman" w:hAnsi="Arial" w:cs="Arial"/>
                <w:szCs w:val="20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>(</w:t>
            </w:r>
            <w:r>
              <w:rPr>
                <w:rFonts w:ascii="Arial" w:eastAsia="Times New Roman" w:hAnsi="Arial" w:cs="Arial"/>
                <w:szCs w:val="20"/>
              </w:rPr>
              <w:t>f</w:t>
            </w:r>
            <w:r w:rsidRPr="004C5909">
              <w:rPr>
                <w:rFonts w:ascii="Arial" w:eastAsia="Times New Roman" w:hAnsi="Arial" w:cs="Arial"/>
                <w:szCs w:val="20"/>
              </w:rPr>
              <w:t>)</w:t>
            </w:r>
            <w:r w:rsidRPr="004C5909">
              <w:rPr>
                <w:rFonts w:ascii="Arial" w:eastAsia="Times New Roman" w:hAnsi="Arial" w:cs="Arial"/>
                <w:szCs w:val="20"/>
              </w:rPr>
              <w:tab/>
              <w:t>community facilities</w:t>
            </w:r>
            <w:r>
              <w:rPr>
                <w:rFonts w:ascii="Arial" w:eastAsia="Times New Roman" w:hAnsi="Arial" w:cs="Arial"/>
                <w:szCs w:val="20"/>
              </w:rPr>
              <w:t xml:space="preserve"> and recreation land</w:t>
            </w:r>
            <w:r w:rsidRPr="004C5909">
              <w:rPr>
                <w:rFonts w:ascii="Arial" w:eastAsia="Times New Roman" w:hAnsi="Arial" w:cs="Arial"/>
                <w:szCs w:val="20"/>
              </w:rPr>
              <w:t>;</w:t>
            </w:r>
          </w:p>
          <w:p w:rsidR="00060BA3" w:rsidRPr="004C5909" w:rsidRDefault="00060BA3" w:rsidP="00CF44F9">
            <w:pPr>
              <w:widowControl w:val="0"/>
              <w:ind w:left="426" w:right="76" w:hanging="426"/>
              <w:rPr>
                <w:rFonts w:ascii="Arial" w:eastAsia="Times New Roman" w:hAnsi="Arial" w:cs="Arial"/>
                <w:szCs w:val="20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>(g)</w:t>
            </w:r>
            <w:r w:rsidRPr="004C5909">
              <w:rPr>
                <w:rFonts w:ascii="Arial" w:eastAsia="Times New Roman" w:hAnsi="Arial" w:cs="Arial"/>
                <w:szCs w:val="20"/>
              </w:rPr>
              <w:tab/>
              <w:t>infrastructure networks;</w:t>
            </w:r>
          </w:p>
          <w:p w:rsidR="00060BA3" w:rsidRPr="004C5909" w:rsidRDefault="00060BA3" w:rsidP="00CF44F9">
            <w:pPr>
              <w:widowControl w:val="0"/>
              <w:ind w:left="426" w:right="76" w:hanging="426"/>
              <w:rPr>
                <w:rFonts w:ascii="Arial" w:eastAsia="Times New Roman" w:hAnsi="Arial" w:cs="Arial"/>
                <w:szCs w:val="20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>(h)</w:t>
            </w:r>
            <w:r w:rsidRPr="004C5909">
              <w:rPr>
                <w:rFonts w:ascii="Arial" w:eastAsia="Times New Roman" w:hAnsi="Arial" w:cs="Arial"/>
                <w:szCs w:val="20"/>
              </w:rPr>
              <w:tab/>
            </w:r>
            <w:r>
              <w:rPr>
                <w:rFonts w:ascii="Arial" w:eastAsia="Times New Roman" w:hAnsi="Arial" w:cs="Arial"/>
                <w:szCs w:val="20"/>
              </w:rPr>
              <w:t>centres</w:t>
            </w:r>
            <w:r w:rsidRPr="004C5909">
              <w:rPr>
                <w:rFonts w:ascii="Arial" w:eastAsia="Times New Roman" w:hAnsi="Arial" w:cs="Arial"/>
                <w:szCs w:val="20"/>
              </w:rPr>
              <w:t>;</w:t>
            </w:r>
          </w:p>
          <w:p w:rsidR="00060BA3" w:rsidRDefault="00060BA3" w:rsidP="00CF44F9">
            <w:pPr>
              <w:widowControl w:val="0"/>
              <w:ind w:left="426" w:right="26" w:hanging="426"/>
              <w:rPr>
                <w:rFonts w:ascii="Arial" w:eastAsia="Times New Roman" w:hAnsi="Arial" w:cs="Arial"/>
                <w:szCs w:val="20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>(</w:t>
            </w:r>
            <w:proofErr w:type="spellStart"/>
            <w:r w:rsidRPr="004C5909">
              <w:rPr>
                <w:rFonts w:ascii="Arial" w:eastAsia="Times New Roman" w:hAnsi="Arial" w:cs="Arial"/>
                <w:szCs w:val="20"/>
              </w:rPr>
              <w:t>i</w:t>
            </w:r>
            <w:proofErr w:type="spellEnd"/>
            <w:r w:rsidRPr="004C5909">
              <w:rPr>
                <w:rFonts w:ascii="Arial" w:eastAsia="Times New Roman" w:hAnsi="Arial" w:cs="Arial"/>
                <w:szCs w:val="20"/>
              </w:rPr>
              <w:t>)</w:t>
            </w:r>
            <w:r w:rsidRPr="004C5909">
              <w:rPr>
                <w:rFonts w:ascii="Arial" w:eastAsia="Times New Roman" w:hAnsi="Arial" w:cs="Arial"/>
                <w:szCs w:val="20"/>
              </w:rPr>
              <w:tab/>
              <w:t xml:space="preserve">overlay </w:t>
            </w:r>
            <w:r>
              <w:rPr>
                <w:rFonts w:ascii="Arial" w:eastAsia="Times New Roman" w:hAnsi="Arial" w:cs="Arial"/>
                <w:szCs w:val="20"/>
              </w:rPr>
              <w:t xml:space="preserve">code </w:t>
            </w:r>
            <w:r w:rsidRPr="004C5909">
              <w:rPr>
                <w:rFonts w:ascii="Arial" w:eastAsia="Times New Roman" w:hAnsi="Arial" w:cs="Arial"/>
                <w:szCs w:val="20"/>
              </w:rPr>
              <w:t>outcomes</w:t>
            </w:r>
            <w:r>
              <w:rPr>
                <w:rFonts w:ascii="Arial" w:eastAsia="Times New Roman" w:hAnsi="Arial" w:cs="Arial"/>
                <w:szCs w:val="20"/>
              </w:rPr>
              <w:t>;</w:t>
            </w:r>
          </w:p>
          <w:p w:rsidR="00060BA3" w:rsidRDefault="00060BA3" w:rsidP="00CF44F9">
            <w:pPr>
              <w:widowControl w:val="0"/>
              <w:ind w:left="426" w:right="26" w:hanging="426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</w:rPr>
              <w:t>(j)</w:t>
            </w:r>
            <w:r>
              <w:rPr>
                <w:rFonts w:ascii="Arial" w:eastAsia="Times New Roman" w:hAnsi="Arial" w:cs="Arial"/>
                <w:szCs w:val="20"/>
              </w:rPr>
              <w:tab/>
              <w:t>local plan code outcomes.</w:t>
            </w:r>
          </w:p>
          <w:p w:rsidR="00060BA3" w:rsidRPr="004C5909" w:rsidRDefault="00060BA3" w:rsidP="00CF44F9">
            <w:pPr>
              <w:widowControl w:val="0"/>
              <w:ind w:right="26"/>
              <w:rPr>
                <w:rFonts w:ascii="Arial" w:eastAsia="Times New Roman" w:hAnsi="Arial" w:cs="Arial"/>
                <w:szCs w:val="20"/>
              </w:rPr>
            </w:pPr>
          </w:p>
          <w:p w:rsidR="00060BA3" w:rsidRPr="00570804" w:rsidRDefault="00060BA3" w:rsidP="00CF44F9">
            <w:pPr>
              <w:widowControl w:val="0"/>
              <w:ind w:right="76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Note – </w:t>
            </w:r>
            <w:r w:rsidRPr="00570804">
              <w:rPr>
                <w:rFonts w:ascii="Arial" w:eastAsia="Times New Roman" w:hAnsi="Arial" w:cs="Arial"/>
                <w:sz w:val="16"/>
                <w:szCs w:val="16"/>
              </w:rPr>
              <w:t>Guidance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70804">
              <w:rPr>
                <w:rFonts w:ascii="Arial" w:eastAsia="Times New Roman" w:hAnsi="Arial" w:cs="Arial"/>
                <w:sz w:val="16"/>
                <w:szCs w:val="16"/>
              </w:rPr>
              <w:t xml:space="preserve">on preparing a structure plan is provided within Planning scheme policy –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570804">
              <w:rPr>
                <w:rFonts w:ascii="Arial" w:eastAsia="Times New Roman" w:hAnsi="Arial" w:cs="Arial"/>
                <w:sz w:val="16"/>
                <w:szCs w:val="16"/>
              </w:rPr>
              <w:t>tructure planning.</w:t>
            </w:r>
          </w:p>
        </w:tc>
        <w:tc>
          <w:tcPr>
            <w:tcW w:w="1667" w:type="pct"/>
          </w:tcPr>
          <w:p w:rsidR="00060BA3" w:rsidRPr="004C5909" w:rsidRDefault="00060BA3" w:rsidP="00CF44F9">
            <w:pPr>
              <w:widowControl w:val="0"/>
              <w:ind w:left="846" w:right="26" w:hanging="8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AO3.1</w:t>
            </w:r>
          </w:p>
          <w:p w:rsidR="00060BA3" w:rsidRPr="004C5909" w:rsidRDefault="00060BA3" w:rsidP="00CF44F9">
            <w:pPr>
              <w:widowControl w:val="0"/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No acceptable outcomes are provided.</w:t>
            </w:r>
          </w:p>
          <w:p w:rsidR="00060BA3" w:rsidRPr="00570804" w:rsidRDefault="00060BA3" w:rsidP="00CF44F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60BA3" w:rsidRDefault="00060BA3" w:rsidP="00CF44F9">
            <w:pPr>
              <w:widowControl w:val="0"/>
              <w:ind w:left="846" w:right="26" w:hanging="846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060BA3" w:rsidRPr="005A77FA" w:rsidTr="00060B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60BA3" w:rsidRDefault="00060BA3" w:rsidP="00CF44F9">
            <w:pPr>
              <w:widowControl w:val="0"/>
              <w:ind w:left="846" w:right="26" w:hanging="846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Incompatible development</w:t>
            </w:r>
          </w:p>
        </w:tc>
      </w:tr>
      <w:tr w:rsidR="00060BA3" w:rsidRPr="005A77FA" w:rsidTr="00060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60BA3" w:rsidRPr="004C5909" w:rsidRDefault="00060BA3" w:rsidP="00CB4F54">
            <w:pPr>
              <w:keepNext/>
              <w:ind w:left="540" w:right="76" w:hanging="54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PO4</w:t>
            </w:r>
          </w:p>
          <w:p w:rsidR="00060BA3" w:rsidRPr="004C5909" w:rsidRDefault="00060BA3" w:rsidP="00CB4F54">
            <w:pPr>
              <w:keepNext/>
              <w:ind w:right="76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hAnsi="Arial" w:cs="Arial"/>
                <w:szCs w:val="20"/>
              </w:rPr>
              <w:t>Non-urban development</w:t>
            </w:r>
            <w:r w:rsidRPr="004C590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is</w:t>
            </w:r>
            <w:r w:rsidRPr="004C590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only </w:t>
            </w:r>
            <w:r w:rsidRPr="004C5909">
              <w:rPr>
                <w:rFonts w:ascii="Arial" w:hAnsi="Arial" w:cs="Arial"/>
                <w:szCs w:val="20"/>
              </w:rPr>
              <w:t>established</w:t>
            </w:r>
            <w:r>
              <w:rPr>
                <w:rFonts w:ascii="Arial" w:hAnsi="Arial" w:cs="Arial"/>
                <w:szCs w:val="20"/>
              </w:rPr>
              <w:t xml:space="preserve"> where it </w:t>
            </w:r>
            <w:r w:rsidRPr="004C5909">
              <w:rPr>
                <w:rFonts w:ascii="Arial" w:hAnsi="Arial" w:cs="Arial"/>
                <w:szCs w:val="20"/>
              </w:rPr>
              <w:t xml:space="preserve">would </w:t>
            </w:r>
            <w:r>
              <w:rPr>
                <w:rFonts w:ascii="Arial" w:hAnsi="Arial" w:cs="Arial"/>
                <w:szCs w:val="20"/>
              </w:rPr>
              <w:t xml:space="preserve">not </w:t>
            </w:r>
            <w:r w:rsidRPr="004C5909">
              <w:rPr>
                <w:rFonts w:ascii="Arial" w:hAnsi="Arial" w:cs="Arial"/>
                <w:szCs w:val="20"/>
              </w:rPr>
              <w:t>constrain the efficient expansion of urban development in the future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060BA3" w:rsidRPr="004C5909" w:rsidRDefault="00060BA3" w:rsidP="00CB4F54">
            <w:pPr>
              <w:keepNext/>
              <w:ind w:left="846" w:right="26" w:hanging="8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AO4</w:t>
            </w:r>
            <w:r w:rsidRPr="004C5909">
              <w:rPr>
                <w:rFonts w:ascii="Arial" w:eastAsia="Times New Roman" w:hAnsi="Arial" w:cs="Arial"/>
                <w:b/>
                <w:szCs w:val="20"/>
              </w:rPr>
              <w:t>.1</w:t>
            </w:r>
          </w:p>
          <w:p w:rsidR="00060BA3" w:rsidRPr="004C5909" w:rsidRDefault="00060BA3" w:rsidP="00CB4F54">
            <w:pPr>
              <w:keepNext/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 xml:space="preserve">Development does not constrain the efficient expansion of urban </w:t>
            </w:r>
            <w:r>
              <w:rPr>
                <w:rFonts w:ascii="Arial" w:eastAsia="Times New Roman" w:hAnsi="Arial" w:cs="Arial"/>
                <w:szCs w:val="20"/>
              </w:rPr>
              <w:t>areas.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60BA3" w:rsidRDefault="00060BA3" w:rsidP="00CB4F54">
            <w:pPr>
              <w:keepNext/>
              <w:ind w:left="846" w:right="26" w:hanging="846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060BA3" w:rsidRPr="005A77FA" w:rsidTr="00060B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60BA3" w:rsidRPr="004C5909" w:rsidRDefault="00060BA3" w:rsidP="00CB4F54">
            <w:pPr>
              <w:ind w:left="846" w:right="26" w:hanging="846"/>
              <w:rPr>
                <w:rFonts w:ascii="Arial" w:eastAsia="Times New Roman" w:hAnsi="Arial" w:cs="Arial"/>
                <w:b/>
                <w:szCs w:val="20"/>
              </w:rPr>
            </w:pPr>
            <w:r w:rsidRPr="004C5909">
              <w:rPr>
                <w:rFonts w:ascii="Arial" w:eastAsia="Times New Roman" w:hAnsi="Arial" w:cs="Arial"/>
                <w:b/>
                <w:szCs w:val="20"/>
              </w:rPr>
              <w:t xml:space="preserve">Interim development </w:t>
            </w:r>
          </w:p>
        </w:tc>
      </w:tr>
      <w:tr w:rsidR="00060BA3" w:rsidRPr="005A77FA" w:rsidTr="00060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60BA3" w:rsidRPr="004C5909" w:rsidRDefault="00060BA3" w:rsidP="00CB4F54">
            <w:pPr>
              <w:ind w:left="540" w:right="76" w:hanging="540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lastRenderedPageBreak/>
              <w:t>PO5</w:t>
            </w:r>
          </w:p>
          <w:p w:rsidR="00060BA3" w:rsidRPr="004C5909" w:rsidRDefault="00060BA3" w:rsidP="00CB4F54">
            <w:pPr>
              <w:ind w:right="76"/>
              <w:rPr>
                <w:rFonts w:ascii="Arial" w:eastAsia="Times New Roman" w:hAnsi="Arial" w:cs="Arial"/>
                <w:szCs w:val="20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>Development which is not in its ultimate intended form does not compromise the achievement of such desired form.</w:t>
            </w:r>
          </w:p>
        </w:tc>
        <w:tc>
          <w:tcPr>
            <w:tcW w:w="1667" w:type="pct"/>
          </w:tcPr>
          <w:p w:rsidR="00060BA3" w:rsidRPr="004C5909" w:rsidRDefault="00060BA3" w:rsidP="00CB4F54">
            <w:pPr>
              <w:ind w:left="846" w:right="26" w:hanging="8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4C5909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5</w:t>
            </w:r>
            <w:r w:rsidRPr="004C5909">
              <w:rPr>
                <w:rFonts w:ascii="Arial" w:eastAsia="Times New Roman" w:hAnsi="Arial" w:cs="Arial"/>
                <w:b/>
                <w:szCs w:val="20"/>
              </w:rPr>
              <w:t>.1</w:t>
            </w:r>
          </w:p>
          <w:p w:rsidR="00060BA3" w:rsidRDefault="00060BA3" w:rsidP="00CB4F54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>The use of land, which is inconsistent or incompatible with the ultimate form of</w:t>
            </w:r>
            <w:r>
              <w:rPr>
                <w:rFonts w:ascii="Arial" w:eastAsia="Times New Roman" w:hAnsi="Arial" w:cs="Arial"/>
                <w:szCs w:val="20"/>
              </w:rPr>
              <w:t xml:space="preserve"> development is not established;</w:t>
            </w:r>
          </w:p>
          <w:p w:rsidR="00060BA3" w:rsidRDefault="00060BA3" w:rsidP="00CB4F54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</w:p>
          <w:p w:rsidR="00060BA3" w:rsidRDefault="00060BA3" w:rsidP="00CB4F54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or</w:t>
            </w:r>
          </w:p>
          <w:p w:rsidR="00060BA3" w:rsidRDefault="00060BA3" w:rsidP="00CB4F54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</w:p>
          <w:p w:rsidR="00060BA3" w:rsidRPr="004F6DA8" w:rsidRDefault="00060BA3" w:rsidP="00CB4F54">
            <w:pPr>
              <w:ind w:righ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AO5.2</w:t>
            </w:r>
          </w:p>
          <w:p w:rsidR="00060BA3" w:rsidRPr="004C5909" w:rsidRDefault="00060BA3" w:rsidP="00CB4F54">
            <w:pPr>
              <w:ind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4C5909">
              <w:rPr>
                <w:rFonts w:ascii="Arial" w:eastAsia="Times New Roman" w:hAnsi="Arial" w:cs="Arial"/>
                <w:szCs w:val="20"/>
              </w:rPr>
              <w:t>The use of land, which is inconsistent or incompatible with the ultimate form of development</w:t>
            </w:r>
            <w:r>
              <w:rPr>
                <w:rFonts w:ascii="Arial" w:eastAsia="Times New Roman" w:hAnsi="Arial" w:cs="Arial"/>
                <w:szCs w:val="20"/>
              </w:rPr>
              <w:t xml:space="preserve"> has a limited life or ceases operation when urban development is established on adjoining premises.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60BA3" w:rsidRPr="004C5909" w:rsidRDefault="00060BA3" w:rsidP="00CB4F54">
            <w:pPr>
              <w:ind w:left="846" w:right="26" w:hanging="846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060BA3" w:rsidRPr="002C79EE" w:rsidTr="00060B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60BA3" w:rsidRDefault="00060BA3" w:rsidP="00CB4F54">
            <w:pPr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060BA3" w:rsidRPr="005A77FA" w:rsidTr="00060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60BA3" w:rsidRPr="00BC0EFD" w:rsidRDefault="00060BA3" w:rsidP="00CB4F54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</w:t>
            </w:r>
            <w:r w:rsidRPr="00BC0EFD">
              <w:rPr>
                <w:rFonts w:eastAsia="Calibri" w:cs="Arial"/>
                <w:b/>
                <w:szCs w:val="20"/>
              </w:rPr>
              <w:t>O</w:t>
            </w:r>
            <w:r>
              <w:rPr>
                <w:rFonts w:eastAsia="Calibri" w:cs="Arial"/>
                <w:b/>
                <w:szCs w:val="20"/>
              </w:rPr>
              <w:t>6</w:t>
            </w:r>
          </w:p>
          <w:p w:rsidR="00060BA3" w:rsidRPr="00B33480" w:rsidRDefault="00060BA3" w:rsidP="00CB4F54">
            <w:pPr>
              <w:rPr>
                <w:rFonts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060BA3" w:rsidRPr="00BC0EFD" w:rsidRDefault="00060BA3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 w:rsidRPr="00BC0EFD">
              <w:rPr>
                <w:rFonts w:eastAsia="Calibri" w:cs="Arial"/>
                <w:b/>
                <w:szCs w:val="20"/>
              </w:rPr>
              <w:t>AO</w:t>
            </w:r>
            <w:r>
              <w:rPr>
                <w:rFonts w:eastAsia="Calibri" w:cs="Arial"/>
                <w:b/>
                <w:szCs w:val="20"/>
              </w:rPr>
              <w:t>6.1</w:t>
            </w:r>
          </w:p>
          <w:p w:rsidR="00060BA3" w:rsidRPr="00B33480" w:rsidRDefault="00060BA3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60BA3" w:rsidRPr="00BC0EFD" w:rsidRDefault="00060BA3" w:rsidP="00CB4F54">
            <w:pPr>
              <w:rPr>
                <w:rFonts w:eastAsia="Calibri" w:cs="Arial"/>
                <w:b/>
                <w:szCs w:val="20"/>
              </w:rPr>
            </w:pPr>
          </w:p>
        </w:tc>
      </w:tr>
      <w:tr w:rsidR="00060BA3" w:rsidRPr="005A77FA" w:rsidTr="00060B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60BA3" w:rsidRDefault="00060BA3" w:rsidP="00CB4F54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Site constraints</w:t>
            </w:r>
          </w:p>
        </w:tc>
      </w:tr>
      <w:tr w:rsidR="00060BA3" w:rsidRPr="005A77FA" w:rsidTr="00060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60BA3" w:rsidRPr="00FC5724" w:rsidRDefault="00060BA3" w:rsidP="00CB4F54">
            <w:pPr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7</w:t>
            </w:r>
          </w:p>
          <w:p w:rsidR="00060BA3" w:rsidRPr="00666E8C" w:rsidRDefault="00060BA3" w:rsidP="00CB4F54"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060BA3" w:rsidRPr="00666E8C" w:rsidRDefault="00060BA3" w:rsidP="00CB4F54"/>
          <w:p w:rsidR="00060BA3" w:rsidRDefault="00060BA3" w:rsidP="00E305E7">
            <w:pPr>
              <w:rPr>
                <w:rFonts w:eastAsia="Calibri" w:cs="Arial"/>
                <w:b/>
                <w:szCs w:val="20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</w:tcPr>
          <w:p w:rsidR="00060BA3" w:rsidRPr="00FC5724" w:rsidRDefault="00060BA3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7.1</w:t>
            </w:r>
          </w:p>
          <w:p w:rsidR="00060BA3" w:rsidRPr="00BC0EFD" w:rsidRDefault="00060BA3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60BA3" w:rsidRPr="00FC5724" w:rsidRDefault="00060BA3" w:rsidP="00CB4F54">
            <w:pPr>
              <w:rPr>
                <w:rFonts w:cs="Arial"/>
                <w:b/>
                <w:szCs w:val="20"/>
              </w:rPr>
            </w:pPr>
          </w:p>
        </w:tc>
      </w:tr>
    </w:tbl>
    <w:p w:rsidR="00957C04" w:rsidRDefault="00957C04" w:rsidP="009F418E">
      <w:pPr>
        <w:keepNext/>
        <w:rPr>
          <w:rFonts w:eastAsia="Times New Roman"/>
        </w:rPr>
      </w:pPr>
    </w:p>
    <w:sectPr w:rsidR="00957C04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5E" w:rsidRDefault="00BB085E">
      <w:pPr>
        <w:spacing w:after="0" w:line="240" w:lineRule="auto"/>
      </w:pPr>
      <w:r>
        <w:separator/>
      </w:r>
    </w:p>
  </w:endnote>
  <w:endnote w:type="continuationSeparator" w:id="0">
    <w:p w:rsidR="00BB085E" w:rsidRDefault="00BB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34EC751A" wp14:editId="6E5546CD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588A16F0" wp14:editId="449EE7C1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7D17C8" w:rsidRDefault="00107CB9" w:rsidP="007D17C8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060BA3" w:rsidRPr="00060BA3">
              <w:rPr>
                <w:color w:val="0064A7"/>
                <w:sz w:val="16"/>
                <w:szCs w:val="16"/>
              </w:rPr>
              <w:t>6.2.4</w:t>
            </w:r>
            <w:r w:rsidR="00060BA3" w:rsidRPr="00060BA3">
              <w:rPr>
                <w:color w:val="0064A7"/>
                <w:sz w:val="16"/>
                <w:szCs w:val="16"/>
              </w:rPr>
              <w:tab/>
            </w:r>
            <w:r w:rsidR="00060BA3">
              <w:rPr>
                <w:color w:val="0064A7"/>
                <w:sz w:val="16"/>
                <w:szCs w:val="16"/>
              </w:rPr>
              <w:t xml:space="preserve"> </w:t>
            </w:r>
            <w:r w:rsidR="00060BA3" w:rsidRPr="00060BA3">
              <w:rPr>
                <w:color w:val="0064A7"/>
                <w:sz w:val="16"/>
                <w:szCs w:val="16"/>
              </w:rPr>
              <w:t>Emerging community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="00C40592">
              <w:rPr>
                <w:color w:val="0064A7"/>
                <w:sz w:val="16"/>
                <w:szCs w:val="16"/>
              </w:rPr>
              <w:t xml:space="preserve">                               </w:t>
            </w:r>
            <w:r w:rsidR="0070281E">
              <w:rPr>
                <w:color w:val="0064A7"/>
                <w:sz w:val="16"/>
                <w:szCs w:val="16"/>
              </w:rPr>
              <w:t xml:space="preserve"> CairnsPlan 2016 Version 2.1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70281E">
              <w:rPr>
                <w:noProof/>
                <w:color w:val="0064A7"/>
                <w:sz w:val="16"/>
                <w:szCs w:val="16"/>
              </w:rPr>
              <w:t>4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70281E">
              <w:rPr>
                <w:noProof/>
                <w:color w:val="0064A7"/>
                <w:sz w:val="16"/>
                <w:szCs w:val="16"/>
              </w:rPr>
              <w:t>4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5E" w:rsidRDefault="00BB085E">
      <w:pPr>
        <w:spacing w:after="0" w:line="240" w:lineRule="auto"/>
      </w:pPr>
      <w:r>
        <w:separator/>
      </w:r>
    </w:p>
  </w:footnote>
  <w:footnote w:type="continuationSeparator" w:id="0">
    <w:p w:rsidR="00BB085E" w:rsidRDefault="00BB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3804B3D9" wp14:editId="27745EB4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3661F52F" wp14:editId="6707E516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8FDC8E60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0BA3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36AE2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281E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17C8"/>
    <w:rsid w:val="007D297F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908E9"/>
    <w:rsid w:val="008928AC"/>
    <w:rsid w:val="00893BC0"/>
    <w:rsid w:val="00893EDD"/>
    <w:rsid w:val="008A4569"/>
    <w:rsid w:val="008A516D"/>
    <w:rsid w:val="008A621E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0C60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85E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0592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FCEA72"/>
  <w15:docId w15:val="{052934FD-D382-4DD4-A074-DB92C370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DF6C47-F57E-432A-BB79-0E06BCE5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2016-02-16T04:04:00Z</cp:lastPrinted>
  <dcterms:created xsi:type="dcterms:W3CDTF">2016-02-26T03:50:00Z</dcterms:created>
  <dcterms:modified xsi:type="dcterms:W3CDTF">2019-10-31T22:43:00Z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