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1D" w:rsidRPr="005A77FA" w:rsidRDefault="001C0D1D" w:rsidP="00B33B0A">
      <w:pPr>
        <w:pStyle w:val="Heading3"/>
        <w:numPr>
          <w:ilvl w:val="2"/>
          <w:numId w:val="65"/>
        </w:numPr>
      </w:pPr>
      <w:r>
        <w:t>Medium impact industry zone</w:t>
      </w:r>
      <w:r w:rsidR="00EF2241">
        <w:t xml:space="preserve"> code</w:t>
      </w:r>
    </w:p>
    <w:p w:rsidR="001C0D1D" w:rsidRPr="005A77FA" w:rsidRDefault="001C0D1D" w:rsidP="001C0D1D">
      <w:pPr>
        <w:pStyle w:val="Heading4"/>
      </w:pPr>
      <w:r w:rsidRPr="005A77FA">
        <w:t>Application</w:t>
      </w:r>
    </w:p>
    <w:p w:rsidR="001C0D1D" w:rsidRPr="004848FB" w:rsidRDefault="001C0D1D" w:rsidP="004848FB">
      <w:pPr>
        <w:pStyle w:val="Reportbodytext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 xml:space="preserve">This code applies to assessing development in the </w:t>
      </w:r>
      <w:r w:rsidR="00B07ECE" w:rsidRPr="004848FB">
        <w:rPr>
          <w:sz w:val="20"/>
          <w:szCs w:val="20"/>
        </w:rPr>
        <w:t xml:space="preserve">Medium </w:t>
      </w:r>
      <w:r w:rsidRPr="004848FB">
        <w:rPr>
          <w:sz w:val="20"/>
          <w:szCs w:val="20"/>
        </w:rPr>
        <w:t>impact industry zone.</w:t>
      </w:r>
    </w:p>
    <w:p w:rsidR="001C0D1D" w:rsidRPr="004848FB" w:rsidRDefault="001C0D1D" w:rsidP="004848FB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1C0D1D" w:rsidRPr="004848FB" w:rsidRDefault="001C0D1D" w:rsidP="004848FB">
      <w:pPr>
        <w:pStyle w:val="Reportbodytext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When using this code, reference should be made to Part 5.</w:t>
      </w:r>
    </w:p>
    <w:p w:rsidR="001C0D1D" w:rsidRPr="005A77FA" w:rsidRDefault="001C0D1D" w:rsidP="001C0D1D">
      <w:pPr>
        <w:pStyle w:val="Heading4"/>
      </w:pPr>
      <w:r w:rsidRPr="005A77FA">
        <w:t xml:space="preserve">Purpose </w:t>
      </w:r>
    </w:p>
    <w:p w:rsidR="00DF43AD" w:rsidRDefault="001C0D1D" w:rsidP="004848FB">
      <w:pPr>
        <w:pStyle w:val="Reportbodytext"/>
        <w:numPr>
          <w:ilvl w:val="0"/>
          <w:numId w:val="50"/>
        </w:numPr>
        <w:spacing w:line="276" w:lineRule="auto"/>
        <w:rPr>
          <w:sz w:val="20"/>
          <w:szCs w:val="20"/>
        </w:rPr>
      </w:pPr>
      <w:r w:rsidRPr="001C0D1D">
        <w:rPr>
          <w:sz w:val="20"/>
          <w:szCs w:val="20"/>
        </w:rPr>
        <w:t xml:space="preserve">The purpose of the </w:t>
      </w:r>
      <w:r w:rsidR="009151CC">
        <w:rPr>
          <w:sz w:val="20"/>
          <w:szCs w:val="20"/>
        </w:rPr>
        <w:t>M</w:t>
      </w:r>
      <w:r w:rsidRPr="001C0D1D">
        <w:rPr>
          <w:sz w:val="20"/>
          <w:szCs w:val="20"/>
        </w:rPr>
        <w:t xml:space="preserve">edium impact industry zone code is to provide for medium impact industry uses. </w:t>
      </w:r>
    </w:p>
    <w:p w:rsidR="00DF43AD" w:rsidRDefault="00DF43AD" w:rsidP="000646E9">
      <w:pPr>
        <w:pStyle w:val="Reportbodytext"/>
        <w:spacing w:line="276" w:lineRule="auto"/>
        <w:rPr>
          <w:sz w:val="20"/>
          <w:szCs w:val="20"/>
        </w:rPr>
      </w:pPr>
    </w:p>
    <w:p w:rsidR="00DF43AD" w:rsidRDefault="001C0D1D" w:rsidP="000646E9">
      <w:pPr>
        <w:pStyle w:val="Reportbodytext"/>
        <w:spacing w:line="276" w:lineRule="auto"/>
        <w:ind w:left="567"/>
        <w:rPr>
          <w:sz w:val="20"/>
          <w:szCs w:val="20"/>
        </w:rPr>
      </w:pPr>
      <w:r w:rsidRPr="001C0D1D">
        <w:rPr>
          <w:sz w:val="20"/>
          <w:szCs w:val="20"/>
        </w:rPr>
        <w:t xml:space="preserve">It may include non-industrial and business uses that support the industrial activities where they do not compromise the long-term use of the land for industrial purposes. </w:t>
      </w:r>
    </w:p>
    <w:p w:rsidR="00DF43AD" w:rsidRDefault="00DF43AD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1C0D1D" w:rsidRPr="001C0D1D" w:rsidRDefault="001C0D1D" w:rsidP="000646E9">
      <w:pPr>
        <w:pStyle w:val="Reportbodytext"/>
        <w:spacing w:line="276" w:lineRule="auto"/>
        <w:ind w:left="567"/>
        <w:rPr>
          <w:sz w:val="20"/>
          <w:szCs w:val="20"/>
        </w:rPr>
      </w:pPr>
      <w:r w:rsidRPr="001C0D1D">
        <w:rPr>
          <w:sz w:val="20"/>
          <w:szCs w:val="20"/>
        </w:rPr>
        <w:t>Activities considered appropriate in this zone are defined as medium impact industry in the schedule of definitions.</w:t>
      </w:r>
    </w:p>
    <w:p w:rsidR="001C0D1D" w:rsidRPr="001C0D1D" w:rsidRDefault="001C0D1D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1C0D1D" w:rsidRPr="001C0D1D" w:rsidRDefault="001C0D1D" w:rsidP="004848FB">
      <w:pPr>
        <w:pStyle w:val="Reportbodytext"/>
        <w:numPr>
          <w:ilvl w:val="0"/>
          <w:numId w:val="50"/>
        </w:numPr>
        <w:spacing w:line="276" w:lineRule="auto"/>
        <w:rPr>
          <w:sz w:val="20"/>
          <w:szCs w:val="20"/>
        </w:rPr>
      </w:pPr>
      <w:r w:rsidRPr="001C0D1D">
        <w:rPr>
          <w:sz w:val="20"/>
          <w:szCs w:val="20"/>
        </w:rPr>
        <w:t xml:space="preserve">The </w:t>
      </w:r>
      <w:r w:rsidR="007B3CE2" w:rsidRPr="007B3CE2">
        <w:rPr>
          <w:sz w:val="20"/>
          <w:szCs w:val="20"/>
        </w:rPr>
        <w:t>purpose of the code will be achieved through the following overall outcomes</w:t>
      </w:r>
      <w:r w:rsidRPr="001C0D1D">
        <w:rPr>
          <w:sz w:val="20"/>
          <w:szCs w:val="20"/>
        </w:rPr>
        <w:t>:</w:t>
      </w:r>
    </w:p>
    <w:p w:rsidR="001C0D1D" w:rsidRPr="001C0D1D" w:rsidRDefault="00CF36CC" w:rsidP="004848FB">
      <w:pPr>
        <w:pStyle w:val="Reportbodytext"/>
        <w:numPr>
          <w:ilvl w:val="1"/>
          <w:numId w:val="5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1C0D1D" w:rsidRPr="001C0D1D">
        <w:rPr>
          <w:sz w:val="20"/>
          <w:szCs w:val="20"/>
        </w:rPr>
        <w:t xml:space="preserve"> range of industrial uses that satisfy the </w:t>
      </w:r>
      <w:r w:rsidR="008307A8">
        <w:rPr>
          <w:sz w:val="20"/>
          <w:szCs w:val="20"/>
        </w:rPr>
        <w:t xml:space="preserve">purpose </w:t>
      </w:r>
      <w:r w:rsidR="001C0D1D" w:rsidRPr="001C0D1D">
        <w:rPr>
          <w:sz w:val="20"/>
          <w:szCs w:val="20"/>
        </w:rPr>
        <w:t>of the zone will be facilitated;</w:t>
      </w:r>
    </w:p>
    <w:p w:rsidR="001C0D1D" w:rsidRPr="001C0D1D" w:rsidRDefault="00CF36CC" w:rsidP="004848FB">
      <w:pPr>
        <w:pStyle w:val="Reportbodytext"/>
        <w:numPr>
          <w:ilvl w:val="1"/>
          <w:numId w:val="5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1C0D1D" w:rsidRPr="001C0D1D">
        <w:rPr>
          <w:sz w:val="20"/>
          <w:szCs w:val="20"/>
        </w:rPr>
        <w:t xml:space="preserve">ccommodation activities, other than caretaker’s accommodation, are not </w:t>
      </w:r>
      <w:r w:rsidR="008307A8">
        <w:rPr>
          <w:sz w:val="20"/>
          <w:szCs w:val="20"/>
        </w:rPr>
        <w:t>established</w:t>
      </w:r>
      <w:r w:rsidR="001C0D1D" w:rsidRPr="001C0D1D">
        <w:rPr>
          <w:sz w:val="20"/>
          <w:szCs w:val="20"/>
        </w:rPr>
        <w:t xml:space="preserve"> within the zone;</w:t>
      </w:r>
    </w:p>
    <w:p w:rsidR="001C0D1D" w:rsidRPr="001C0D1D" w:rsidRDefault="00CF36CC" w:rsidP="004848FB">
      <w:pPr>
        <w:pStyle w:val="Reportbodytext"/>
        <w:numPr>
          <w:ilvl w:val="1"/>
          <w:numId w:val="5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1C0D1D" w:rsidRPr="001C0D1D">
        <w:rPr>
          <w:sz w:val="20"/>
          <w:szCs w:val="20"/>
        </w:rPr>
        <w:t>ervice and low impact industry uses may be appropriate where they are not detrimentally affected by or compromise the operations of medium impact industry uses;</w:t>
      </w:r>
    </w:p>
    <w:p w:rsidR="001C0D1D" w:rsidRPr="001C0D1D" w:rsidRDefault="00CF36CC" w:rsidP="004848FB">
      <w:pPr>
        <w:pStyle w:val="Reportbodytext"/>
        <w:numPr>
          <w:ilvl w:val="1"/>
          <w:numId w:val="5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1C0D1D" w:rsidRPr="001C0D1D">
        <w:rPr>
          <w:sz w:val="20"/>
          <w:szCs w:val="20"/>
        </w:rPr>
        <w:t xml:space="preserve">ot sizes are of </w:t>
      </w:r>
      <w:r w:rsidR="003177D1">
        <w:rPr>
          <w:sz w:val="20"/>
          <w:szCs w:val="20"/>
        </w:rPr>
        <w:t xml:space="preserve">a </w:t>
      </w:r>
      <w:r w:rsidR="001C0D1D" w:rsidRPr="001C0D1D">
        <w:rPr>
          <w:sz w:val="20"/>
          <w:szCs w:val="20"/>
        </w:rPr>
        <w:t>sufficient size to cater for a wide range of industry activities;</w:t>
      </w:r>
    </w:p>
    <w:p w:rsidR="00C22F59" w:rsidRDefault="00CF36CC" w:rsidP="004848FB">
      <w:pPr>
        <w:pStyle w:val="Reportbodytext"/>
        <w:numPr>
          <w:ilvl w:val="1"/>
          <w:numId w:val="5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1C0D1D" w:rsidRPr="001C0D1D">
        <w:rPr>
          <w:sz w:val="20"/>
          <w:szCs w:val="20"/>
        </w:rPr>
        <w:t>he scale, character and built form of development contributes to a high standard of amenity</w:t>
      </w:r>
      <w:r w:rsidR="00C22F59">
        <w:rPr>
          <w:sz w:val="20"/>
          <w:szCs w:val="20"/>
        </w:rPr>
        <w:t>;</w:t>
      </w:r>
    </w:p>
    <w:p w:rsidR="0023610D" w:rsidRPr="0051484C" w:rsidRDefault="00C22F59" w:rsidP="004848FB">
      <w:pPr>
        <w:pStyle w:val="ListParagraph"/>
        <w:numPr>
          <w:ilvl w:val="1"/>
          <w:numId w:val="50"/>
        </w:numPr>
        <w:spacing w:after="0"/>
        <w:rPr>
          <w:rFonts w:eastAsia="Times New Roman"/>
          <w:szCs w:val="20"/>
        </w:rPr>
      </w:pPr>
      <w:r w:rsidRPr="00CD6253">
        <w:rPr>
          <w:rFonts w:ascii="Arial" w:eastAsia="Times New Roman" w:hAnsi="Arial" w:cs="Arial"/>
          <w:szCs w:val="20"/>
        </w:rPr>
        <w:t>development reflects and responds to the natural features and constraints of the land</w:t>
      </w:r>
      <w:r w:rsidR="0023610D">
        <w:rPr>
          <w:rFonts w:ascii="Arial" w:eastAsia="Times New Roman" w:hAnsi="Arial" w:cs="Arial"/>
          <w:szCs w:val="20"/>
        </w:rPr>
        <w:t>;</w:t>
      </w:r>
    </w:p>
    <w:p w:rsidR="0023610D" w:rsidRPr="0029618C" w:rsidRDefault="0023610D" w:rsidP="004848FB">
      <w:pPr>
        <w:pStyle w:val="ListParagraph"/>
        <w:numPr>
          <w:ilvl w:val="1"/>
          <w:numId w:val="50"/>
        </w:numPr>
        <w:spacing w:after="0"/>
        <w:rPr>
          <w:rFonts w:ascii="Arial" w:eastAsia="Times New Roman" w:hAnsi="Arial" w:cs="Arial"/>
          <w:szCs w:val="20"/>
        </w:rPr>
      </w:pPr>
      <w:r>
        <w:t>development does not affect the operational aspects of the Port of Cairns.</w:t>
      </w:r>
    </w:p>
    <w:p w:rsid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</w:p>
    <w:p w:rsid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</w:p>
    <w:p w:rsid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</w:p>
    <w:p w:rsid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</w:p>
    <w:p w:rsid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</w:p>
    <w:p w:rsid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</w:p>
    <w:p w:rsid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</w:p>
    <w:p w:rsidR="0029618C" w:rsidRPr="0029618C" w:rsidRDefault="0029618C" w:rsidP="0029618C">
      <w:pPr>
        <w:spacing w:after="0"/>
        <w:rPr>
          <w:rFonts w:ascii="Arial" w:eastAsia="Times New Roman" w:hAnsi="Arial" w:cs="Arial"/>
          <w:szCs w:val="20"/>
        </w:rPr>
      </w:pPr>
      <w:bookmarkStart w:id="0" w:name="_GoBack"/>
      <w:bookmarkEnd w:id="0"/>
    </w:p>
    <w:p w:rsidR="001C0D1D" w:rsidRPr="005A77FA" w:rsidRDefault="001C0D1D" w:rsidP="001C0D1D">
      <w:pPr>
        <w:pStyle w:val="Heading4"/>
      </w:pPr>
      <w:bookmarkStart w:id="1" w:name="_Ref363484785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1C0D1D" w:rsidRPr="00BF128E" w:rsidRDefault="001C0D1D" w:rsidP="001C0D1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1C0D1D" w:rsidRPr="005A77FA" w:rsidRDefault="001C0D1D" w:rsidP="001C0D1D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1C0D1D" w:rsidRPr="005A77FA" w:rsidRDefault="001C0D1D" w:rsidP="001C0D1D">
      <w:pPr>
        <w:pStyle w:val="Caption"/>
      </w:pPr>
      <w:r>
        <w:t>Table</w:t>
      </w:r>
      <w:r w:rsidR="00172C3B">
        <w:t xml:space="preserve"> </w:t>
      </w:r>
      <w:r w:rsidR="00172C3B">
        <w:fldChar w:fldCharType="begin"/>
      </w:r>
      <w:r w:rsidR="00172C3B">
        <w:instrText xml:space="preserve"> REF _Ref363484785 \r \h </w:instrText>
      </w:r>
      <w:r w:rsidR="00172C3B">
        <w:fldChar w:fldCharType="separate"/>
      </w:r>
      <w:r w:rsidR="00CF44F9">
        <w:t>6.2.13.3</w:t>
      </w:r>
      <w:r w:rsidR="00172C3B">
        <w:fldChar w:fldCharType="end"/>
      </w:r>
      <w:r>
        <w:t>.a</w:t>
      </w:r>
      <w:r w:rsidRPr="005A77FA">
        <w:t xml:space="preserve"> </w:t>
      </w:r>
      <w:r>
        <w:t xml:space="preserve">– Medium </w:t>
      </w:r>
      <w:proofErr w:type="gramStart"/>
      <w:r>
        <w:t xml:space="preserve">impact industry zone </w:t>
      </w:r>
      <w:r w:rsidR="00C86856">
        <w:t>code</w:t>
      </w:r>
      <w:proofErr w:type="gramEnd"/>
      <w:r w:rsidR="00C86856">
        <w:t xml:space="preserve">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B33B0A" w:rsidRPr="005A77FA" w:rsidTr="00B33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33B0A" w:rsidRPr="005A77FA" w:rsidRDefault="00B33B0A" w:rsidP="00B33B0A">
            <w:pPr>
              <w:widowControl w:val="0"/>
            </w:pPr>
            <w:r w:rsidRPr="005A77FA">
              <w:t>Performance outcomes</w:t>
            </w:r>
          </w:p>
        </w:tc>
        <w:tc>
          <w:tcPr>
            <w:tcW w:w="1667" w:type="pct"/>
          </w:tcPr>
          <w:p w:rsidR="00B33B0A" w:rsidRPr="005A77FA" w:rsidRDefault="00B33B0A" w:rsidP="00B33B0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33B0A" w:rsidRPr="005A77FA" w:rsidRDefault="00B33B0A" w:rsidP="00B33B0A">
            <w:pPr>
              <w:widowControl w:val="0"/>
            </w:pPr>
            <w:r>
              <w:t>Applicant response</w:t>
            </w:r>
          </w:p>
        </w:tc>
      </w:tr>
      <w:tr w:rsidR="00B33B0A" w:rsidRPr="006F6F35" w:rsidTr="00B3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33B0A" w:rsidRPr="00621988" w:rsidRDefault="00B33B0A" w:rsidP="00B33B0A">
            <w:pPr>
              <w:widowControl w:val="0"/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assessable development </w:t>
            </w:r>
          </w:p>
        </w:tc>
      </w:tr>
      <w:tr w:rsidR="00B33B0A" w:rsidRPr="002C79EE" w:rsidTr="00B33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33B0A" w:rsidRDefault="00B33B0A" w:rsidP="00B33B0A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B33B0A" w:rsidRPr="005A77FA" w:rsidTr="00B3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33B0A" w:rsidRDefault="00B33B0A" w:rsidP="00B33B0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PO1</w:t>
            </w:r>
          </w:p>
          <w:p w:rsidR="00B33B0A" w:rsidRDefault="00B33B0A" w:rsidP="00B33B0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height of buildings and structures is compatible with the character of the area and does not adversely affect the amenity of the area.</w:t>
            </w:r>
          </w:p>
          <w:p w:rsidR="00B33B0A" w:rsidRDefault="00B33B0A" w:rsidP="00B33B0A">
            <w:pPr>
              <w:widowControl w:val="0"/>
              <w:rPr>
                <w:rFonts w:ascii="Arial" w:hAnsi="Arial" w:cs="Arial"/>
                <w:szCs w:val="20"/>
              </w:rPr>
            </w:pPr>
          </w:p>
          <w:p w:rsidR="00B33B0A" w:rsidRDefault="00B33B0A" w:rsidP="00B33B0A">
            <w:pPr>
              <w:widowControl w:val="0"/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B33B0A" w:rsidRDefault="00B33B0A" w:rsidP="00B33B0A">
            <w:pPr>
              <w:widowControl w:val="0"/>
              <w:rPr>
                <w:sz w:val="16"/>
                <w:szCs w:val="16"/>
              </w:rPr>
            </w:pPr>
          </w:p>
          <w:p w:rsidR="00B33B0A" w:rsidRPr="0095184D" w:rsidRDefault="00B33B0A" w:rsidP="00B33B0A">
            <w:pPr>
              <w:widowControl w:val="0"/>
              <w:rPr>
                <w:rFonts w:ascii="Arial" w:hAnsi="Arial"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within AO1.1 and the setbacks stated in AO2.1 of the Industry design code correspond with the height stated in AO1.1 of this code.  Where a proposed development exceeds the height stated in AO1.1 of this code, the proposed development will also be assessed against PO1 and PO2 of the Industry design code.</w:t>
            </w:r>
          </w:p>
        </w:tc>
        <w:tc>
          <w:tcPr>
            <w:tcW w:w="1667" w:type="pct"/>
          </w:tcPr>
          <w:p w:rsidR="00B33B0A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AO1.1</w:t>
            </w:r>
          </w:p>
          <w:p w:rsidR="00B33B0A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Buildings and structures are not more than 15 metres in height.</w:t>
            </w:r>
          </w:p>
          <w:p w:rsidR="00B33B0A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:rsidR="00B33B0A" w:rsidRPr="0095184D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33B0A" w:rsidRDefault="00B33B0A" w:rsidP="00B33B0A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B33B0A" w:rsidRPr="002C79EE" w:rsidTr="00B33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33B0A" w:rsidRDefault="00B33B0A" w:rsidP="00B33B0A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B33B0A" w:rsidRPr="002C79EE" w:rsidTr="00B3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33B0A" w:rsidRDefault="00B33B0A" w:rsidP="00B33B0A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B33B0A" w:rsidRPr="001C0D1D" w:rsidTr="00B33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5A5A5" w:themeColor="accent3"/>
            </w:tcBorders>
          </w:tcPr>
          <w:p w:rsidR="00B33B0A" w:rsidRPr="001C0D1D" w:rsidRDefault="00B33B0A" w:rsidP="00B33B0A">
            <w:pPr>
              <w:widowControl w:val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1C0D1D">
              <w:rPr>
                <w:rFonts w:ascii="Arial" w:hAnsi="Arial" w:cs="Arial"/>
                <w:b/>
                <w:szCs w:val="20"/>
              </w:rPr>
              <w:t>PO2</w:t>
            </w:r>
          </w:p>
          <w:p w:rsidR="00B33B0A" w:rsidRPr="001C0D1D" w:rsidRDefault="00B33B0A" w:rsidP="00B33B0A">
            <w:pPr>
              <w:widowControl w:val="0"/>
              <w:rPr>
                <w:rFonts w:ascii="Arial" w:eastAsiaTheme="minorEastAsia" w:hAnsi="Arial" w:cs="Arial"/>
                <w:szCs w:val="20"/>
                <w:highlight w:val="lightGray"/>
                <w:lang w:eastAsia="en-AU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  <w:tcBorders>
              <w:bottom w:val="single" w:sz="4" w:space="0" w:color="A5A5A5" w:themeColor="accent3"/>
            </w:tcBorders>
          </w:tcPr>
          <w:p w:rsidR="00B33B0A" w:rsidRPr="001C0D1D" w:rsidRDefault="00B33B0A" w:rsidP="00B33B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1C0D1D">
              <w:rPr>
                <w:rFonts w:ascii="Arial" w:hAnsi="Arial" w:cs="Arial"/>
                <w:b/>
                <w:szCs w:val="20"/>
              </w:rPr>
              <w:t>AO2.1</w:t>
            </w:r>
          </w:p>
          <w:p w:rsidR="00B33B0A" w:rsidRPr="001C0D1D" w:rsidRDefault="00B33B0A" w:rsidP="00B33B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highlight w:val="lightGray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 w:themeColor="accent3"/>
            </w:tcBorders>
          </w:tcPr>
          <w:p w:rsidR="00B33B0A" w:rsidRPr="001C0D1D" w:rsidRDefault="00B33B0A" w:rsidP="00B33B0A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B33B0A" w:rsidRPr="001C0D1D" w:rsidTr="00B3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33B0A" w:rsidRPr="001C0D1D" w:rsidRDefault="00B33B0A" w:rsidP="00B33B0A">
            <w:pPr>
              <w:widowControl w:val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1C0D1D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3</w:t>
            </w:r>
          </w:p>
          <w:p w:rsidR="00B33B0A" w:rsidRDefault="00B33B0A" w:rsidP="00B33B0A">
            <w:pPr>
              <w:widowControl w:val="0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1C0D1D">
              <w:rPr>
                <w:rFonts w:ascii="Arial" w:hAnsi="Arial" w:cs="Arial"/>
                <w:szCs w:val="20"/>
              </w:rPr>
              <w:t>Non-industry activities compatible with the zone include those that:</w:t>
            </w:r>
          </w:p>
          <w:p w:rsidR="00B33B0A" w:rsidRPr="001C0D1D" w:rsidRDefault="00B33B0A" w:rsidP="00B33B0A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(a)</w:t>
            </w:r>
            <w:r>
              <w:rPr>
                <w:rFonts w:ascii="Arial" w:hAnsi="Arial" w:cs="Arial"/>
                <w:szCs w:val="20"/>
              </w:rPr>
              <w:tab/>
              <w:t xml:space="preserve">do not </w:t>
            </w:r>
            <w:r w:rsidRPr="001C0D1D">
              <w:rPr>
                <w:szCs w:val="20"/>
              </w:rPr>
              <w:t>compromise the operations of medium impact industry uses</w:t>
            </w:r>
            <w:r>
              <w:rPr>
                <w:szCs w:val="20"/>
              </w:rPr>
              <w:t>;</w:t>
            </w:r>
          </w:p>
          <w:p w:rsidR="00B33B0A" w:rsidRPr="001C0D1D" w:rsidRDefault="00B33B0A" w:rsidP="00B33B0A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1C0D1D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b</w:t>
            </w:r>
            <w:r w:rsidRPr="001C0D1D">
              <w:rPr>
                <w:rFonts w:ascii="Arial" w:hAnsi="Arial" w:cs="Arial"/>
                <w:szCs w:val="20"/>
              </w:rPr>
              <w:t>)</w:t>
            </w:r>
            <w:r w:rsidRPr="001C0D1D">
              <w:rPr>
                <w:rFonts w:ascii="Arial" w:hAnsi="Arial" w:cs="Arial"/>
                <w:szCs w:val="20"/>
              </w:rPr>
              <w:tab/>
              <w:t>do not compromise the hierarchy of centres in the region;</w:t>
            </w:r>
          </w:p>
          <w:p w:rsidR="00B33B0A" w:rsidRPr="001C0D1D" w:rsidRDefault="00B33B0A" w:rsidP="00B33B0A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1C0D1D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c</w:t>
            </w:r>
            <w:r w:rsidRPr="001C0D1D">
              <w:rPr>
                <w:rFonts w:ascii="Arial" w:hAnsi="Arial" w:cs="Arial"/>
                <w:szCs w:val="20"/>
              </w:rPr>
              <w:t>)</w:t>
            </w:r>
            <w:r w:rsidRPr="001C0D1D">
              <w:rPr>
                <w:rFonts w:ascii="Arial" w:hAnsi="Arial" w:cs="Arial"/>
                <w:szCs w:val="20"/>
              </w:rPr>
              <w:tab/>
              <w:t>complement industrial activities;</w:t>
            </w:r>
          </w:p>
          <w:p w:rsidR="00B33B0A" w:rsidRPr="001C0D1D" w:rsidRDefault="00B33B0A" w:rsidP="00B33B0A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1C0D1D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d</w:t>
            </w:r>
            <w:r w:rsidRPr="001C0D1D">
              <w:rPr>
                <w:rFonts w:ascii="Arial" w:hAnsi="Arial" w:cs="Arial"/>
                <w:szCs w:val="20"/>
              </w:rPr>
              <w:t>)</w:t>
            </w:r>
            <w:r w:rsidRPr="001C0D1D">
              <w:rPr>
                <w:rFonts w:ascii="Arial" w:hAnsi="Arial" w:cs="Arial"/>
                <w:szCs w:val="20"/>
              </w:rPr>
              <w:tab/>
              <w:t xml:space="preserve">require large land holdings and/or industrial </w:t>
            </w:r>
            <w:r w:rsidRPr="001C0D1D">
              <w:rPr>
                <w:rFonts w:ascii="Arial" w:hAnsi="Arial" w:cs="Arial"/>
                <w:szCs w:val="20"/>
              </w:rPr>
              <w:lastRenderedPageBreak/>
              <w:t>scale buildings;</w:t>
            </w:r>
          </w:p>
          <w:p w:rsidR="00B33B0A" w:rsidRPr="001C0D1D" w:rsidRDefault="00B33B0A" w:rsidP="00B33B0A">
            <w:pPr>
              <w:widowControl w:val="0"/>
              <w:ind w:left="426" w:hanging="426"/>
              <w:rPr>
                <w:rFonts w:ascii="Arial" w:hAnsi="Arial" w:cs="Arial"/>
                <w:b/>
                <w:szCs w:val="20"/>
              </w:rPr>
            </w:pPr>
            <w:r w:rsidRPr="001C0D1D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e</w:t>
            </w:r>
            <w:r w:rsidRPr="001C0D1D">
              <w:rPr>
                <w:rFonts w:ascii="Arial" w:hAnsi="Arial" w:cs="Arial"/>
                <w:szCs w:val="20"/>
              </w:rPr>
              <w:t>)</w:t>
            </w:r>
            <w:r w:rsidRPr="001C0D1D">
              <w:rPr>
                <w:rFonts w:ascii="Arial" w:hAnsi="Arial" w:cs="Arial"/>
                <w:szCs w:val="20"/>
              </w:rPr>
              <w:tab/>
              <w:t xml:space="preserve">provide a service to the nearby workforce. </w:t>
            </w:r>
          </w:p>
        </w:tc>
        <w:tc>
          <w:tcPr>
            <w:tcW w:w="1667" w:type="pct"/>
          </w:tcPr>
          <w:p w:rsidR="00B33B0A" w:rsidRPr="000F3FCD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 w:themeColor="text1"/>
                <w:szCs w:val="20"/>
                <w:lang w:eastAsia="en-AU"/>
              </w:rPr>
            </w:pPr>
            <w:r w:rsidRPr="000F3FCD">
              <w:rPr>
                <w:rFonts w:ascii="Arial" w:hAnsi="Arial" w:cs="Arial"/>
                <w:b/>
                <w:color w:val="000000" w:themeColor="text1"/>
                <w:szCs w:val="20"/>
              </w:rPr>
              <w:lastRenderedPageBreak/>
              <w:t>AO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3</w:t>
            </w:r>
            <w:r w:rsidRPr="000F3FCD">
              <w:rPr>
                <w:rFonts w:ascii="Arial" w:hAnsi="Arial" w:cs="Arial"/>
                <w:b/>
                <w:color w:val="000000" w:themeColor="text1"/>
                <w:szCs w:val="20"/>
              </w:rPr>
              <w:t>.1</w:t>
            </w:r>
          </w:p>
          <w:p w:rsidR="00B33B0A" w:rsidRPr="001C0D1D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0F3FCD">
              <w:rPr>
                <w:rFonts w:ascii="Arial" w:hAnsi="Arial" w:cs="Arial"/>
                <w:color w:val="000000" w:themeColor="text1"/>
                <w:szCs w:val="20"/>
              </w:rPr>
              <w:t xml:space="preserve">No acceptable outcomes are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provided</w:t>
            </w:r>
            <w:r w:rsidRPr="000F3FCD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33B0A" w:rsidRPr="000F3FCD" w:rsidRDefault="00B33B0A" w:rsidP="00B33B0A">
            <w:pPr>
              <w:widowControl w:val="0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B33B0A" w:rsidRPr="001C0D1D" w:rsidTr="00B33B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33B0A" w:rsidRDefault="00B33B0A" w:rsidP="00B33B0A">
            <w:pPr>
              <w:widowContro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Site constraints</w:t>
            </w:r>
          </w:p>
        </w:tc>
      </w:tr>
      <w:tr w:rsidR="00B33B0A" w:rsidRPr="001C0D1D" w:rsidTr="00B3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33B0A" w:rsidRPr="00FC5724" w:rsidRDefault="00B33B0A" w:rsidP="00B33B0A">
            <w:pPr>
              <w:widowControl w:val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B33B0A" w:rsidRPr="00666E8C" w:rsidRDefault="00B33B0A" w:rsidP="00B33B0A">
            <w:pPr>
              <w:widowControl w:val="0"/>
              <w:rPr>
                <w:rFonts w:eastAsiaTheme="minorEastAsia"/>
                <w:lang w:eastAsia="en-AU"/>
              </w:rPr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B33B0A" w:rsidRPr="00666E8C" w:rsidRDefault="00B33B0A" w:rsidP="00B33B0A">
            <w:pPr>
              <w:widowControl w:val="0"/>
              <w:rPr>
                <w:rFonts w:eastAsiaTheme="minorEastAsia"/>
                <w:lang w:eastAsia="en-AU"/>
              </w:rPr>
            </w:pPr>
          </w:p>
          <w:p w:rsidR="00B33B0A" w:rsidRPr="001C0D1D" w:rsidRDefault="00B33B0A" w:rsidP="00B33B0A">
            <w:pPr>
              <w:widowControl w:val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B33B0A" w:rsidRPr="00FC5724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B33B0A" w:rsidRPr="001C0D1D" w:rsidRDefault="00B33B0A" w:rsidP="00B33B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33B0A" w:rsidRPr="00FC5724" w:rsidRDefault="00B33B0A" w:rsidP="00B33B0A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:rsidR="001C0D1D" w:rsidRDefault="001C0D1D">
      <w:pPr>
        <w:rPr>
          <w:rFonts w:eastAsia="Times New Roman"/>
        </w:rPr>
      </w:pPr>
    </w:p>
    <w:sectPr w:rsidR="001C0D1D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62" w:rsidRDefault="00013F62">
      <w:pPr>
        <w:spacing w:after="0" w:line="240" w:lineRule="auto"/>
      </w:pPr>
      <w:r>
        <w:separator/>
      </w:r>
    </w:p>
  </w:endnote>
  <w:endnote w:type="continuationSeparator" w:id="0">
    <w:p w:rsidR="00013F62" w:rsidRDefault="0001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1326D0E2" wp14:editId="53282A91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46F5ECEB" wp14:editId="638ED0F4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C90E6D" w:rsidRDefault="00107CB9" w:rsidP="00C90E6D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B33B0A" w:rsidRPr="00B33B0A">
              <w:rPr>
                <w:color w:val="0064A7"/>
                <w:sz w:val="16"/>
                <w:szCs w:val="16"/>
              </w:rPr>
              <w:t>6.2.13</w:t>
            </w:r>
            <w:r w:rsidR="00B33B0A" w:rsidRPr="00B33B0A">
              <w:rPr>
                <w:color w:val="0064A7"/>
                <w:sz w:val="16"/>
                <w:szCs w:val="16"/>
              </w:rPr>
              <w:tab/>
            </w:r>
            <w:r w:rsidR="00B33B0A">
              <w:rPr>
                <w:color w:val="0064A7"/>
                <w:sz w:val="16"/>
                <w:szCs w:val="16"/>
              </w:rPr>
              <w:t xml:space="preserve"> </w:t>
            </w:r>
            <w:r w:rsidR="00B33B0A" w:rsidRPr="00B33B0A">
              <w:rPr>
                <w:color w:val="0064A7"/>
                <w:sz w:val="16"/>
                <w:szCs w:val="16"/>
              </w:rPr>
              <w:t>Medium impact industry zone code</w:t>
            </w:r>
            <w:r>
              <w:rPr>
                <w:color w:val="0064A7"/>
                <w:sz w:val="16"/>
                <w:szCs w:val="16"/>
              </w:rPr>
              <w:t xml:space="preserve">  </w:t>
            </w:r>
            <w:r w:rsidR="00B33B0A">
              <w:rPr>
                <w:color w:val="0064A7"/>
                <w:sz w:val="16"/>
                <w:szCs w:val="16"/>
              </w:rPr>
              <w:t xml:space="preserve">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360649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C90E6D">
              <w:rPr>
                <w:color w:val="0064A7"/>
                <w:sz w:val="16"/>
                <w:szCs w:val="16"/>
              </w:rPr>
              <w:t xml:space="preserve">         CairnsPlan 2016 Version 2.</w:t>
            </w:r>
            <w:r w:rsidR="0054477C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54477C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54477C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62" w:rsidRDefault="00013F62">
      <w:pPr>
        <w:spacing w:after="0" w:line="240" w:lineRule="auto"/>
      </w:pPr>
      <w:r>
        <w:separator/>
      </w:r>
    </w:p>
  </w:footnote>
  <w:footnote w:type="continuationSeparator" w:id="0">
    <w:p w:rsidR="00013F62" w:rsidRDefault="0001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F1FF2AC" wp14:editId="57AD763E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349E067C" wp14:editId="2D6B9458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327E66CC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3F62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618C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0649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477C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37423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B0A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0E6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A2D11B"/>
  <w15:docId w15:val="{44EB2B13-D533-4DFE-944C-626BEAB7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078AA0-5A14-4384-9114-C010C28E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2016-02-26T04:44:00Z</dcterms:created>
  <dcterms:modified xsi:type="dcterms:W3CDTF">2019-10-31T22:56:00Z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