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04" w:rsidRPr="005A77FA" w:rsidRDefault="00957C04" w:rsidP="008F27B2">
      <w:pPr>
        <w:pStyle w:val="Heading3"/>
        <w:numPr>
          <w:ilvl w:val="2"/>
          <w:numId w:val="64"/>
        </w:numPr>
      </w:pPr>
      <w:bookmarkStart w:id="0" w:name="_Ref421792598"/>
      <w:r>
        <w:t>Environmental management zone</w:t>
      </w:r>
      <w:r w:rsidR="00EF2241">
        <w:t xml:space="preserve"> code</w:t>
      </w:r>
      <w:bookmarkEnd w:id="0"/>
    </w:p>
    <w:p w:rsidR="00957C04" w:rsidRPr="005A77FA" w:rsidRDefault="00957C04" w:rsidP="00957C04">
      <w:pPr>
        <w:pStyle w:val="Heading4"/>
      </w:pPr>
      <w:r w:rsidRPr="005A77FA">
        <w:t>Application</w:t>
      </w:r>
    </w:p>
    <w:p w:rsidR="00957C04" w:rsidRPr="001A3591" w:rsidRDefault="00957C04" w:rsidP="001A3591">
      <w:pPr>
        <w:pStyle w:val="Reportbodytex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 xml:space="preserve">This code applies to assessing development in the </w:t>
      </w:r>
      <w:r w:rsidR="00A6155F" w:rsidRPr="001A3591">
        <w:rPr>
          <w:sz w:val="20"/>
          <w:szCs w:val="20"/>
        </w:rPr>
        <w:t xml:space="preserve">Environmental </w:t>
      </w:r>
      <w:r w:rsidRPr="001A3591">
        <w:rPr>
          <w:sz w:val="20"/>
          <w:szCs w:val="20"/>
        </w:rPr>
        <w:t>management zone.</w:t>
      </w:r>
    </w:p>
    <w:p w:rsidR="00957C04" w:rsidRPr="001A3591" w:rsidRDefault="00957C04" w:rsidP="001A3591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957C04" w:rsidRPr="001A3591" w:rsidRDefault="00957C04" w:rsidP="001A3591">
      <w:pPr>
        <w:pStyle w:val="Reportbodytex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When using this code, reference should be made to Part 5.</w:t>
      </w:r>
    </w:p>
    <w:p w:rsidR="00957C04" w:rsidRPr="005A77FA" w:rsidRDefault="00957C04" w:rsidP="00957C04">
      <w:pPr>
        <w:pStyle w:val="Heading4"/>
      </w:pPr>
      <w:bookmarkStart w:id="1" w:name="_Ref421792574"/>
      <w:r w:rsidRPr="005A77FA">
        <w:t>Purpose</w:t>
      </w:r>
      <w:bookmarkEnd w:id="1"/>
      <w:r w:rsidRPr="005A77FA">
        <w:t xml:space="preserve"> </w:t>
      </w:r>
    </w:p>
    <w:p w:rsidR="00957C04" w:rsidRDefault="00957C04" w:rsidP="004848FB">
      <w:pPr>
        <w:pStyle w:val="Reportbodytext"/>
        <w:numPr>
          <w:ilvl w:val="0"/>
          <w:numId w:val="4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 purpose of the Environmental management zone code is to recognise environmentally sensitive areas</w:t>
      </w:r>
      <w:r w:rsidR="00FB1893">
        <w:rPr>
          <w:sz w:val="20"/>
          <w:szCs w:val="20"/>
        </w:rPr>
        <w:t xml:space="preserve"> and constrained land</w:t>
      </w:r>
      <w:r>
        <w:rPr>
          <w:sz w:val="20"/>
          <w:szCs w:val="20"/>
        </w:rPr>
        <w:t xml:space="preserve"> and provide for houses on lots and other low impact activities where suitable.</w:t>
      </w:r>
    </w:p>
    <w:p w:rsidR="00957C04" w:rsidRDefault="00957C04" w:rsidP="00CB4F54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957C04" w:rsidRDefault="00957C04" w:rsidP="00CB4F54">
      <w:pPr>
        <w:pStyle w:val="Reportbodytext"/>
        <w:spacing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These areas are protected from </w:t>
      </w:r>
      <w:r w:rsidR="00A6155F">
        <w:rPr>
          <w:sz w:val="20"/>
          <w:szCs w:val="20"/>
        </w:rPr>
        <w:t xml:space="preserve">intrusion </w:t>
      </w:r>
      <w:r>
        <w:rPr>
          <w:sz w:val="20"/>
          <w:szCs w:val="20"/>
        </w:rPr>
        <w:t>of any urban, suburban, centre</w:t>
      </w:r>
      <w:r w:rsidR="00F10E16">
        <w:rPr>
          <w:sz w:val="20"/>
          <w:szCs w:val="20"/>
        </w:rPr>
        <w:t>, rural</w:t>
      </w:r>
      <w:r>
        <w:rPr>
          <w:sz w:val="20"/>
          <w:szCs w:val="20"/>
        </w:rPr>
        <w:t xml:space="preserve"> or industrial land use</w:t>
      </w:r>
      <w:r w:rsidRPr="004E43FA">
        <w:rPr>
          <w:sz w:val="20"/>
          <w:szCs w:val="20"/>
        </w:rPr>
        <w:t>.</w:t>
      </w:r>
    </w:p>
    <w:p w:rsidR="00957C04" w:rsidRPr="00CB3AEE" w:rsidRDefault="00957C04" w:rsidP="00CB4F54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957C04" w:rsidRPr="00CB3AEE" w:rsidRDefault="00957C04" w:rsidP="004848FB">
      <w:pPr>
        <w:pStyle w:val="Reportbodytext"/>
        <w:numPr>
          <w:ilvl w:val="0"/>
          <w:numId w:val="42"/>
        </w:numPr>
        <w:spacing w:line="276" w:lineRule="auto"/>
        <w:rPr>
          <w:sz w:val="20"/>
          <w:szCs w:val="20"/>
        </w:rPr>
      </w:pPr>
      <w:r w:rsidRPr="00CB3AEE">
        <w:rPr>
          <w:sz w:val="20"/>
          <w:szCs w:val="20"/>
        </w:rPr>
        <w:t xml:space="preserve">The local government purpose of the code is to protect </w:t>
      </w:r>
      <w:r>
        <w:rPr>
          <w:sz w:val="20"/>
          <w:szCs w:val="20"/>
        </w:rPr>
        <w:t xml:space="preserve">and buffer </w:t>
      </w:r>
      <w:r w:rsidRPr="00CB3AEE">
        <w:rPr>
          <w:sz w:val="20"/>
          <w:szCs w:val="20"/>
        </w:rPr>
        <w:t>areas of environmental significance</w:t>
      </w:r>
      <w:r w:rsidR="00FB1893">
        <w:rPr>
          <w:sz w:val="20"/>
          <w:szCs w:val="20"/>
        </w:rPr>
        <w:t xml:space="preserve"> and constrained land</w:t>
      </w:r>
      <w:r w:rsidRPr="00CB3AEE">
        <w:rPr>
          <w:sz w:val="20"/>
          <w:szCs w:val="20"/>
        </w:rPr>
        <w:t xml:space="preserve"> from inappropriate development.</w:t>
      </w:r>
    </w:p>
    <w:p w:rsidR="00957C04" w:rsidRPr="00CB3AEE" w:rsidRDefault="00957C04" w:rsidP="00CB4F54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957C04" w:rsidRPr="00957C04" w:rsidRDefault="00957C04" w:rsidP="004848FB">
      <w:pPr>
        <w:pStyle w:val="ListParagraph"/>
        <w:numPr>
          <w:ilvl w:val="0"/>
          <w:numId w:val="42"/>
        </w:numPr>
        <w:spacing w:after="0"/>
        <w:rPr>
          <w:rFonts w:cs="Arial"/>
          <w:szCs w:val="20"/>
        </w:rPr>
      </w:pPr>
      <w:r w:rsidRPr="00957C04">
        <w:rPr>
          <w:rFonts w:cs="Arial"/>
          <w:szCs w:val="20"/>
        </w:rPr>
        <w:t>The purpose of the code will be achieved through the following overall outcomes: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957C04" w:rsidRPr="00957C04">
        <w:rPr>
          <w:rFonts w:cs="Arial"/>
          <w:szCs w:val="20"/>
        </w:rPr>
        <w:t xml:space="preserve">evelopment is </w:t>
      </w:r>
      <w:r w:rsidR="003B49D2">
        <w:rPr>
          <w:rFonts w:cs="Arial"/>
          <w:szCs w:val="20"/>
        </w:rPr>
        <w:t>limited</w:t>
      </w:r>
      <w:r w:rsidR="003B49D2" w:rsidRPr="00957C04">
        <w:rPr>
          <w:rFonts w:cs="Arial"/>
          <w:szCs w:val="20"/>
        </w:rPr>
        <w:t xml:space="preserve"> </w:t>
      </w:r>
      <w:r w:rsidR="00957C04" w:rsidRPr="0011263F">
        <w:rPr>
          <w:rFonts w:cs="Arial"/>
          <w:szCs w:val="20"/>
        </w:rPr>
        <w:t xml:space="preserve">to a </w:t>
      </w:r>
      <w:r w:rsidR="0011263F" w:rsidRPr="0051484C">
        <w:rPr>
          <w:rFonts w:cs="Arial"/>
          <w:szCs w:val="20"/>
        </w:rPr>
        <w:t xml:space="preserve">low </w:t>
      </w:r>
      <w:r w:rsidR="00470601" w:rsidRPr="0011263F">
        <w:rPr>
          <w:rFonts w:cs="Arial"/>
          <w:szCs w:val="20"/>
        </w:rPr>
        <w:t>scale that</w:t>
      </w:r>
      <w:r w:rsidR="0011263F" w:rsidRPr="0051484C">
        <w:rPr>
          <w:rFonts w:cs="Arial"/>
          <w:szCs w:val="20"/>
        </w:rPr>
        <w:t xml:space="preserve"> does not result in adverse impacts on areas of </w:t>
      </w:r>
      <w:r w:rsidR="00A52819">
        <w:rPr>
          <w:rFonts w:cs="Arial"/>
          <w:szCs w:val="20"/>
        </w:rPr>
        <w:t>environmental</w:t>
      </w:r>
      <w:r w:rsidR="0011263F" w:rsidRPr="0051484C">
        <w:rPr>
          <w:rFonts w:cs="Arial"/>
          <w:szCs w:val="20"/>
        </w:rPr>
        <w:t xml:space="preserve"> significance;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957C04" w:rsidRPr="00957C04">
        <w:rPr>
          <w:rFonts w:cs="Arial"/>
          <w:szCs w:val="20"/>
        </w:rPr>
        <w:t>ot reconfiguration, other than boundary realignments</w:t>
      </w:r>
      <w:r w:rsidR="00A6155F">
        <w:rPr>
          <w:rFonts w:cs="Arial"/>
          <w:szCs w:val="20"/>
        </w:rPr>
        <w:t xml:space="preserve"> and amalgamation</w:t>
      </w:r>
      <w:r w:rsidR="00957C04" w:rsidRPr="00957C04">
        <w:rPr>
          <w:rFonts w:cs="Arial"/>
          <w:szCs w:val="20"/>
        </w:rPr>
        <w:t>, do not occur;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a</w:t>
      </w:r>
      <w:r w:rsidR="00957C04" w:rsidRPr="00957C04">
        <w:rPr>
          <w:szCs w:val="20"/>
        </w:rPr>
        <w:t>dverse impacts on natural systems, both on-site and on adjoining land are minimised through the location, design and management of development;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d</w:t>
      </w:r>
      <w:r w:rsidR="00957C04" w:rsidRPr="00957C04">
        <w:rPr>
          <w:szCs w:val="20"/>
        </w:rPr>
        <w:t>evelopment reflects and responds to the natural features and environmental values of the area;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v</w:t>
      </w:r>
      <w:r w:rsidR="00957C04" w:rsidRPr="00957C04">
        <w:rPr>
          <w:szCs w:val="20"/>
        </w:rPr>
        <w:t xml:space="preserve">isual impacts are minimised through </w:t>
      </w:r>
      <w:r w:rsidR="00A6155F">
        <w:rPr>
          <w:szCs w:val="20"/>
        </w:rPr>
        <w:t xml:space="preserve">the </w:t>
      </w:r>
      <w:r w:rsidR="00957C04" w:rsidRPr="00957C04">
        <w:rPr>
          <w:szCs w:val="20"/>
        </w:rPr>
        <w:t>location and design of development;</w:t>
      </w:r>
    </w:p>
    <w:p w:rsidR="00957C04" w:rsidRPr="00957C04" w:rsidRDefault="00CF36CC" w:rsidP="004848FB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szCs w:val="20"/>
        </w:rPr>
      </w:pPr>
      <w:r>
        <w:rPr>
          <w:szCs w:val="20"/>
        </w:rPr>
        <w:t>d</w:t>
      </w:r>
      <w:r w:rsidR="00957C04" w:rsidRPr="00957C04">
        <w:rPr>
          <w:szCs w:val="20"/>
        </w:rPr>
        <w:t>evelopment does not adversely affect water quality</w:t>
      </w:r>
      <w:r w:rsidR="003B49D2">
        <w:rPr>
          <w:szCs w:val="20"/>
        </w:rPr>
        <w:t xml:space="preserve"> or habitat connectivity</w:t>
      </w:r>
      <w:r w:rsidR="00957C04" w:rsidRPr="00957C04">
        <w:rPr>
          <w:szCs w:val="20"/>
        </w:rPr>
        <w:t>;</w:t>
      </w:r>
    </w:p>
    <w:p w:rsidR="00C22F59" w:rsidRDefault="00C22F59" w:rsidP="004848FB">
      <w:pPr>
        <w:pStyle w:val="ListParagraph"/>
        <w:numPr>
          <w:ilvl w:val="1"/>
          <w:numId w:val="42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 xml:space="preserve">development reflects and responds to the natural features and constraints of the land. </w:t>
      </w:r>
    </w:p>
    <w:p w:rsidR="00BF7FBD" w:rsidRDefault="00BF7FBD" w:rsidP="00CB4F54">
      <w:pPr>
        <w:spacing w:after="0"/>
        <w:rPr>
          <w:rFonts w:ascii="Arial" w:eastAsia="Times New Roman" w:hAnsi="Arial" w:cs="Arial"/>
          <w:szCs w:val="20"/>
        </w:rPr>
      </w:pPr>
    </w:p>
    <w:p w:rsidR="00BF7FBD" w:rsidRPr="005A4476" w:rsidRDefault="00BF7FBD" w:rsidP="00CB4F54">
      <w:pPr>
        <w:spacing w:after="0"/>
        <w:ind w:left="851" w:hanging="851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Environmental management precinct 1 – </w:t>
      </w:r>
      <w:r w:rsidR="00E76C44">
        <w:rPr>
          <w:rFonts w:ascii="Arial" w:eastAsia="Times New Roman" w:hAnsi="Arial" w:cs="Arial"/>
          <w:b/>
          <w:szCs w:val="20"/>
        </w:rPr>
        <w:t>R</w:t>
      </w:r>
      <w:r>
        <w:rPr>
          <w:rFonts w:ascii="Arial" w:eastAsia="Times New Roman" w:hAnsi="Arial" w:cs="Arial"/>
          <w:b/>
          <w:szCs w:val="20"/>
        </w:rPr>
        <w:t>esidential</w:t>
      </w:r>
    </w:p>
    <w:p w:rsidR="00BF7FBD" w:rsidRPr="00431B3F" w:rsidRDefault="00BF7FBD" w:rsidP="004848FB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>
        <w:rPr>
          <w:rFonts w:ascii="Arial" w:eastAsia="Times New Roman" w:hAnsi="Arial" w:cs="Arial"/>
          <w:szCs w:val="20"/>
        </w:rPr>
        <w:fldChar w:fldCharType="begin"/>
      </w:r>
      <w:r>
        <w:rPr>
          <w:rFonts w:ascii="Arial" w:eastAsia="Times New Roman" w:hAnsi="Arial" w:cs="Arial"/>
          <w:szCs w:val="20"/>
        </w:rPr>
        <w:instrText xml:space="preserve"> REF _Ref421792574 \r \h </w:instrText>
      </w:r>
      <w:r>
        <w:rPr>
          <w:rFonts w:ascii="Arial" w:eastAsia="Times New Roman" w:hAnsi="Arial" w:cs="Arial"/>
          <w:szCs w:val="20"/>
        </w:rPr>
      </w:r>
      <w:r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6.2.5.2</w:t>
      </w:r>
      <w:r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BF7FBD" w:rsidRDefault="0011263F" w:rsidP="004848F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the precinct provides for dwelling houses that are located, designed and managed to avoid adverse impacts on areas of ecological significance.</w:t>
      </w:r>
    </w:p>
    <w:p w:rsidR="005841C2" w:rsidRPr="005A4476" w:rsidRDefault="005841C2" w:rsidP="00CB4F5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bookmarkStart w:id="2" w:name="_GoBack"/>
      <w:bookmarkEnd w:id="2"/>
    </w:p>
    <w:p w:rsidR="00BF7FBD" w:rsidRPr="005A4476" w:rsidRDefault="00BF7FBD" w:rsidP="00CB4F54">
      <w:pPr>
        <w:spacing w:after="0"/>
        <w:ind w:left="851" w:hanging="851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Environmental management precinct 2 – Russell Heads</w:t>
      </w:r>
    </w:p>
    <w:p w:rsidR="00BF7FBD" w:rsidRPr="00431B3F" w:rsidRDefault="00BF7FBD" w:rsidP="004848FB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 w:rsidR="00CB4F54">
        <w:rPr>
          <w:rFonts w:ascii="Arial" w:eastAsia="Times New Roman" w:hAnsi="Arial" w:cs="Arial"/>
          <w:szCs w:val="20"/>
        </w:rPr>
        <w:fldChar w:fldCharType="begin"/>
      </w:r>
      <w:r w:rsidR="00CB4F54">
        <w:rPr>
          <w:rFonts w:ascii="Arial" w:eastAsia="Times New Roman" w:hAnsi="Arial" w:cs="Arial"/>
          <w:szCs w:val="20"/>
        </w:rPr>
        <w:instrText xml:space="preserve"> REF _Ref421792574 \r \h </w:instrText>
      </w:r>
      <w:r w:rsidR="00CB4F54">
        <w:rPr>
          <w:rFonts w:ascii="Arial" w:eastAsia="Times New Roman" w:hAnsi="Arial" w:cs="Arial"/>
          <w:szCs w:val="20"/>
        </w:rPr>
      </w:r>
      <w:r w:rsidR="00CB4F54"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6.2.5.2</w:t>
      </w:r>
      <w:r w:rsidR="00CB4F54"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BF7FBD" w:rsidRDefault="0011263F" w:rsidP="004848F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development </w:t>
      </w:r>
      <w:r w:rsidR="005841C2">
        <w:rPr>
          <w:rFonts w:ascii="Arial" w:eastAsia="Times New Roman" w:hAnsi="Arial" w:cs="Arial"/>
          <w:szCs w:val="20"/>
        </w:rPr>
        <w:t>provides for the maintenance of existing dwelling houses</w:t>
      </w:r>
      <w:r>
        <w:rPr>
          <w:rFonts w:ascii="Arial" w:eastAsia="Times New Roman" w:hAnsi="Arial" w:cs="Arial"/>
          <w:szCs w:val="20"/>
        </w:rPr>
        <w:t xml:space="preserve"> and retains the low scale residen</w:t>
      </w:r>
      <w:r w:rsidR="00394AD3">
        <w:rPr>
          <w:rFonts w:ascii="Arial" w:eastAsia="Times New Roman" w:hAnsi="Arial" w:cs="Arial"/>
          <w:szCs w:val="20"/>
        </w:rPr>
        <w:t>tial character of Russell Heads;</w:t>
      </w:r>
    </w:p>
    <w:p w:rsidR="00394AD3" w:rsidRDefault="00394AD3" w:rsidP="004848F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vacant sites within the precinct accommodate a single dwelling house;</w:t>
      </w:r>
    </w:p>
    <w:p w:rsidR="00394AD3" w:rsidRDefault="00394AD3" w:rsidP="004848F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development does not increase the density of the precinct beyond one dwelling house per lot </w:t>
      </w:r>
      <w:r w:rsidR="00045482">
        <w:rPr>
          <w:rFonts w:ascii="Arial" w:eastAsia="Times New Roman" w:hAnsi="Arial" w:cs="Arial"/>
          <w:szCs w:val="20"/>
        </w:rPr>
        <w:t xml:space="preserve">to </w:t>
      </w:r>
      <w:r>
        <w:rPr>
          <w:rFonts w:ascii="Arial" w:eastAsia="Times New Roman" w:hAnsi="Arial" w:cs="Arial"/>
          <w:szCs w:val="20"/>
        </w:rPr>
        <w:t xml:space="preserve">minimise the exposure of people and property to </w:t>
      </w:r>
      <w:r>
        <w:rPr>
          <w:rFonts w:ascii="Arial" w:eastAsia="Times New Roman" w:hAnsi="Arial" w:cs="Arial"/>
          <w:szCs w:val="20"/>
        </w:rPr>
        <w:lastRenderedPageBreak/>
        <w:t xml:space="preserve">unacceptable </w:t>
      </w:r>
      <w:r w:rsidR="00E149AD">
        <w:rPr>
          <w:rFonts w:ascii="Arial" w:eastAsia="Times New Roman" w:hAnsi="Arial" w:cs="Arial"/>
          <w:szCs w:val="20"/>
        </w:rPr>
        <w:t>risk from natural hazards;</w:t>
      </w:r>
    </w:p>
    <w:p w:rsidR="00E149AD" w:rsidRPr="005A4476" w:rsidRDefault="00844190" w:rsidP="004848F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infrastructure is provided at a standard that is</w:t>
      </w:r>
      <w:r w:rsidRPr="00844190">
        <w:rPr>
          <w:rFonts w:ascii="Arial" w:eastAsia="Times New Roman" w:hAnsi="Arial" w:cs="Arial"/>
          <w:szCs w:val="20"/>
        </w:rPr>
        <w:t xml:space="preserve"> safe and efficient </w:t>
      </w:r>
      <w:r>
        <w:rPr>
          <w:rFonts w:ascii="Arial" w:eastAsia="Times New Roman" w:hAnsi="Arial" w:cs="Arial"/>
          <w:szCs w:val="20"/>
        </w:rPr>
        <w:t xml:space="preserve">and </w:t>
      </w:r>
      <w:r w:rsidRPr="00844190">
        <w:rPr>
          <w:rFonts w:ascii="Arial" w:eastAsia="Times New Roman" w:hAnsi="Arial" w:cs="Arial"/>
          <w:szCs w:val="20"/>
        </w:rPr>
        <w:t>meet</w:t>
      </w:r>
      <w:r>
        <w:rPr>
          <w:rFonts w:ascii="Arial" w:eastAsia="Times New Roman" w:hAnsi="Arial" w:cs="Arial"/>
          <w:szCs w:val="20"/>
        </w:rPr>
        <w:t>s</w:t>
      </w:r>
      <w:r w:rsidRPr="00844190">
        <w:rPr>
          <w:rFonts w:ascii="Arial" w:eastAsia="Times New Roman" w:hAnsi="Arial" w:cs="Arial"/>
          <w:szCs w:val="20"/>
        </w:rPr>
        <w:t xml:space="preserve"> the needs of development</w:t>
      </w:r>
      <w:r>
        <w:rPr>
          <w:rFonts w:ascii="Arial" w:eastAsia="Times New Roman" w:hAnsi="Arial" w:cs="Arial"/>
          <w:szCs w:val="20"/>
        </w:rPr>
        <w:t>.</w:t>
      </w:r>
    </w:p>
    <w:p w:rsidR="00957C04" w:rsidRPr="005A77FA" w:rsidRDefault="00957C04" w:rsidP="00957C04">
      <w:pPr>
        <w:pStyle w:val="Heading4"/>
      </w:pPr>
      <w:bookmarkStart w:id="3" w:name="_Ref363477108"/>
      <w:r>
        <w:t>Criteria for a</w:t>
      </w:r>
      <w:r w:rsidRPr="005A77FA">
        <w:t>ssessment</w:t>
      </w:r>
      <w:bookmarkEnd w:id="3"/>
      <w:r w:rsidRPr="005A77FA">
        <w:t xml:space="preserve"> </w:t>
      </w:r>
    </w:p>
    <w:p w:rsidR="00957C04" w:rsidRPr="00BF128E" w:rsidRDefault="00957C04" w:rsidP="00957C0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957C04" w:rsidRPr="005A77FA" w:rsidRDefault="00957C04" w:rsidP="00957C04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57C04" w:rsidRPr="005A77FA" w:rsidRDefault="00957C04" w:rsidP="00957C04">
      <w:pPr>
        <w:pStyle w:val="Caption"/>
      </w:pPr>
      <w:r>
        <w:t xml:space="preserve">Table </w:t>
      </w:r>
      <w:r>
        <w:fldChar w:fldCharType="begin"/>
      </w:r>
      <w:r>
        <w:instrText xml:space="preserve"> REF _Ref363477108 \r \h </w:instrText>
      </w:r>
      <w:r>
        <w:fldChar w:fldCharType="separate"/>
      </w:r>
      <w:r w:rsidR="00CF44F9">
        <w:t>6.2.5.3</w:t>
      </w:r>
      <w:r>
        <w:fldChar w:fldCharType="end"/>
      </w:r>
      <w:r>
        <w:t>.a</w:t>
      </w:r>
      <w:r w:rsidRPr="005A77FA">
        <w:t xml:space="preserve"> </w:t>
      </w:r>
      <w:r>
        <w:t xml:space="preserve">– </w:t>
      </w:r>
      <w:proofErr w:type="gramStart"/>
      <w:r>
        <w:t xml:space="preserve">Environmental management zone </w:t>
      </w:r>
      <w:r w:rsidR="00C86856">
        <w:t>code</w:t>
      </w:r>
      <w:proofErr w:type="gramEnd"/>
      <w:r w:rsidR="00C86856">
        <w:t xml:space="preserve">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8F27B2" w:rsidRPr="005A77FA" w:rsidTr="008F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5A77FA" w:rsidRDefault="008F27B2" w:rsidP="00524C75">
            <w:r w:rsidRPr="005A77FA">
              <w:t>Performance outcomes</w:t>
            </w:r>
          </w:p>
        </w:tc>
        <w:tc>
          <w:tcPr>
            <w:tcW w:w="1667" w:type="pct"/>
          </w:tcPr>
          <w:p w:rsidR="008F27B2" w:rsidRPr="005A77FA" w:rsidRDefault="008F27B2" w:rsidP="00524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5A77FA" w:rsidRDefault="008F27B2" w:rsidP="00524C75">
            <w:r>
              <w:t>Applicant response</w:t>
            </w:r>
          </w:p>
        </w:tc>
      </w:tr>
      <w:tr w:rsidR="008F27B2" w:rsidRPr="006F6F35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Pr="00621988" w:rsidRDefault="008F27B2" w:rsidP="00524C75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8F27B2" w:rsidRPr="002C79EE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8F27B2" w:rsidRPr="005A77FA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8F27B2" w:rsidRDefault="008F27B2" w:rsidP="00524C75">
            <w:pPr>
              <w:rPr>
                <w:rFonts w:cs="Arial"/>
                <w:szCs w:val="20"/>
              </w:rPr>
            </w:pPr>
            <w:r w:rsidRPr="00271749">
              <w:rPr>
                <w:rFonts w:cs="Arial"/>
                <w:szCs w:val="20"/>
              </w:rPr>
              <w:t xml:space="preserve">The height of all buildings and structures </w:t>
            </w:r>
            <w:r>
              <w:rPr>
                <w:rFonts w:cs="Arial"/>
                <w:szCs w:val="20"/>
              </w:rPr>
              <w:t>is</w:t>
            </w:r>
            <w:r w:rsidRPr="00271749">
              <w:rPr>
                <w:rFonts w:cs="Arial"/>
                <w:szCs w:val="20"/>
              </w:rPr>
              <w:t xml:space="preserve"> in keeping with the natural characteristics of the site. Buildings and structures </w:t>
            </w:r>
            <w:r>
              <w:rPr>
                <w:rFonts w:cs="Arial"/>
                <w:szCs w:val="20"/>
              </w:rPr>
              <w:t xml:space="preserve">are </w:t>
            </w:r>
            <w:r w:rsidRPr="00271749">
              <w:rPr>
                <w:rFonts w:cs="Arial"/>
                <w:szCs w:val="20"/>
              </w:rPr>
              <w:t xml:space="preserve">low rise and not unduly visible from external sites. </w:t>
            </w:r>
          </w:p>
          <w:p w:rsidR="008F27B2" w:rsidRDefault="008F27B2" w:rsidP="00524C75">
            <w:pPr>
              <w:rPr>
                <w:rFonts w:cs="Arial"/>
                <w:szCs w:val="20"/>
              </w:rPr>
            </w:pPr>
          </w:p>
          <w:p w:rsidR="008F27B2" w:rsidRDefault="008F27B2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8F27B2" w:rsidRDefault="008F27B2" w:rsidP="00E305E7">
            <w:pPr>
              <w:rPr>
                <w:sz w:val="16"/>
                <w:szCs w:val="16"/>
              </w:rPr>
            </w:pPr>
          </w:p>
          <w:p w:rsidR="008F27B2" w:rsidRPr="00271749" w:rsidRDefault="008F27B2" w:rsidP="00E305E7">
            <w:pPr>
              <w:rPr>
                <w:rFonts w:cs="Arial"/>
                <w:strike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and AO2.2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271749">
              <w:t>uilding</w:t>
            </w:r>
            <w:r>
              <w:t>s</w:t>
            </w:r>
            <w:r w:rsidRPr="00271749">
              <w:t xml:space="preserve"> </w:t>
            </w:r>
            <w:r>
              <w:t>and structures are not more than</w:t>
            </w:r>
            <w:r w:rsidRPr="00271749">
              <w:t xml:space="preserve"> 8.5 metres</w:t>
            </w:r>
            <w:r>
              <w:t xml:space="preserve"> and 2 </w:t>
            </w:r>
            <w:proofErr w:type="spellStart"/>
            <w:r>
              <w:t>storeys</w:t>
            </w:r>
            <w:proofErr w:type="spellEnd"/>
            <w:r>
              <w:t xml:space="preserve"> in height</w:t>
            </w:r>
            <w:r w:rsidRPr="00271749">
              <w:t>.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F27B2" w:rsidRPr="00271749" w:rsidRDefault="008F27B2" w:rsidP="00A13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2C79EE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8F27B2" w:rsidRPr="00271749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8F27B2" w:rsidRDefault="008F27B2" w:rsidP="00524C75">
            <w:pPr>
              <w:rPr>
                <w:rFonts w:cs="Arial"/>
                <w:szCs w:val="20"/>
              </w:rPr>
            </w:pPr>
            <w:r w:rsidRPr="00271749">
              <w:rPr>
                <w:rFonts w:cs="Arial"/>
                <w:szCs w:val="20"/>
              </w:rPr>
              <w:t>Buildings and structures are set</w:t>
            </w:r>
            <w:r>
              <w:rPr>
                <w:rFonts w:cs="Arial"/>
                <w:szCs w:val="20"/>
              </w:rPr>
              <w:t xml:space="preserve"> </w:t>
            </w:r>
            <w:r w:rsidRPr="00271749">
              <w:rPr>
                <w:rFonts w:cs="Arial"/>
                <w:szCs w:val="20"/>
              </w:rPr>
              <w:t xml:space="preserve">back </w:t>
            </w:r>
            <w:r>
              <w:rPr>
                <w:rFonts w:cs="Arial"/>
                <w:szCs w:val="20"/>
              </w:rPr>
              <w:t>to:</w:t>
            </w:r>
          </w:p>
          <w:p w:rsidR="008F27B2" w:rsidRDefault="008F27B2" w:rsidP="00524C75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maintain the character and amenity of the area;</w:t>
            </w:r>
          </w:p>
          <w:p w:rsidR="008F27B2" w:rsidRPr="00271749" w:rsidRDefault="008F27B2" w:rsidP="00524C75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achieve separation from neighbouring buildings and from road frontages.</w:t>
            </w:r>
            <w:r w:rsidRPr="00271749">
              <w:rPr>
                <w:rFonts w:cs="Arial"/>
                <w:szCs w:val="20"/>
              </w:rPr>
              <w:t xml:space="preserve"> </w:t>
            </w:r>
          </w:p>
          <w:p w:rsidR="008F27B2" w:rsidRPr="00271749" w:rsidRDefault="008F27B2" w:rsidP="00524C75">
            <w:pPr>
              <w:rPr>
                <w:rFonts w:cs="Arial"/>
                <w:strike/>
                <w:szCs w:val="20"/>
              </w:rPr>
            </w:pPr>
          </w:p>
        </w:tc>
        <w:tc>
          <w:tcPr>
            <w:tcW w:w="1667" w:type="pct"/>
          </w:tcPr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1749">
              <w:rPr>
                <w:rFonts w:cs="Arial"/>
                <w:szCs w:val="20"/>
              </w:rPr>
              <w:t xml:space="preserve">Buildings </w:t>
            </w:r>
            <w:r>
              <w:rPr>
                <w:rFonts w:cs="Arial"/>
                <w:szCs w:val="20"/>
              </w:rPr>
              <w:t xml:space="preserve">and structures </w:t>
            </w:r>
            <w:r w:rsidRPr="00271749">
              <w:rPr>
                <w:rFonts w:cs="Arial"/>
                <w:szCs w:val="20"/>
              </w:rPr>
              <w:t>are set</w:t>
            </w:r>
            <w:r>
              <w:rPr>
                <w:rFonts w:cs="Arial"/>
                <w:szCs w:val="20"/>
              </w:rPr>
              <w:t xml:space="preserve"> </w:t>
            </w:r>
            <w:r w:rsidRPr="00271749">
              <w:rPr>
                <w:rFonts w:cs="Arial"/>
                <w:szCs w:val="20"/>
              </w:rPr>
              <w:t>back not less than</w:t>
            </w:r>
            <w:r w:rsidDel="00982BCF">
              <w:rPr>
                <w:rFonts w:cs="Arial"/>
                <w:szCs w:val="20"/>
              </w:rPr>
              <w:t xml:space="preserve"> </w:t>
            </w:r>
            <w:r w:rsidRPr="00957C04">
              <w:rPr>
                <w:rFonts w:cs="Arial"/>
                <w:szCs w:val="20"/>
              </w:rPr>
              <w:t xml:space="preserve">6 metres from </w:t>
            </w:r>
            <w:r>
              <w:rPr>
                <w:rFonts w:cs="Arial"/>
                <w:szCs w:val="20"/>
              </w:rPr>
              <w:t xml:space="preserve">all </w:t>
            </w:r>
            <w:r w:rsidRPr="00957C04">
              <w:rPr>
                <w:rFonts w:cs="Arial"/>
                <w:szCs w:val="20"/>
              </w:rPr>
              <w:t>boundaries.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8F27B2" w:rsidRPr="0049348C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49348C">
              <w:rPr>
                <w:rFonts w:eastAsiaTheme="minorEastAsia" w:cs="Arial"/>
                <w:b/>
                <w:szCs w:val="20"/>
                <w:lang w:eastAsia="en-AU"/>
              </w:rPr>
              <w:t>AO2.</w:t>
            </w:r>
            <w:r>
              <w:rPr>
                <w:rFonts w:eastAsiaTheme="minorEastAsia" w:cs="Arial"/>
                <w:b/>
                <w:szCs w:val="20"/>
                <w:lang w:eastAsia="en-AU"/>
              </w:rPr>
              <w:t>2</w:t>
            </w:r>
          </w:p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eastAsiaTheme="minorEastAsia" w:cs="Arial"/>
                <w:szCs w:val="20"/>
                <w:lang w:eastAsia="en-AU"/>
              </w:rPr>
              <w:t>Within Environmental management precinct 2 – Russell Heads, buildings and structures are set back not less than 1.5 metres from side boundaries and 3 metres from river and road frontage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lastRenderedPageBreak/>
              <w:t>For assessable development</w:t>
            </w:r>
          </w:p>
        </w:tc>
      </w:tr>
      <w:tr w:rsidR="008F27B2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8F27B2" w:rsidRPr="00271749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BF212B" w:rsidRDefault="008F27B2" w:rsidP="00524C75">
            <w:pPr>
              <w:rPr>
                <w:rFonts w:cs="Arial"/>
                <w:szCs w:val="20"/>
              </w:rPr>
            </w:pPr>
            <w:r w:rsidRPr="00BF212B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8F27B2" w:rsidRPr="005A3A6F" w:rsidRDefault="008F27B2" w:rsidP="00524C75">
            <w:pPr>
              <w:rPr>
                <w:rFonts w:cs="Arial"/>
                <w:b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8F27B2" w:rsidRPr="00BF212B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F212B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8F27B2" w:rsidRPr="005A3A6F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BF212B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8F27B2" w:rsidRPr="00271749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67680A" w:rsidRDefault="008F27B2" w:rsidP="00524C75">
            <w:pPr>
              <w:rPr>
                <w:rFonts w:cs="Arial"/>
                <w:b/>
                <w:szCs w:val="20"/>
              </w:rPr>
            </w:pPr>
            <w:r w:rsidRPr="0067680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8F27B2" w:rsidRPr="0067680A" w:rsidRDefault="008F27B2" w:rsidP="00524C75">
            <w:pPr>
              <w:rPr>
                <w:rFonts w:cs="Arial"/>
                <w:szCs w:val="20"/>
              </w:rPr>
            </w:pPr>
            <w:r w:rsidRPr="0067680A">
              <w:rPr>
                <w:rFonts w:cs="Arial"/>
                <w:szCs w:val="20"/>
              </w:rPr>
              <w:t xml:space="preserve">The site coverage of all buildings and structures and associated services </w:t>
            </w:r>
            <w:r>
              <w:rPr>
                <w:rFonts w:cs="Arial"/>
                <w:szCs w:val="20"/>
              </w:rPr>
              <w:t>does</w:t>
            </w:r>
            <w:r w:rsidRPr="0067680A">
              <w:rPr>
                <w:rFonts w:cs="Arial"/>
                <w:szCs w:val="20"/>
              </w:rPr>
              <w:t xml:space="preserve"> not have an adverse effect on the </w:t>
            </w:r>
            <w:r>
              <w:rPr>
                <w:rFonts w:cs="Arial"/>
                <w:szCs w:val="20"/>
              </w:rPr>
              <w:t>environmental or</w:t>
            </w:r>
            <w:r w:rsidRPr="0067680A">
              <w:rPr>
                <w:rFonts w:cs="Arial"/>
                <w:szCs w:val="20"/>
              </w:rPr>
              <w:t xml:space="preserve"> scenic values of the site. </w:t>
            </w:r>
          </w:p>
        </w:tc>
        <w:tc>
          <w:tcPr>
            <w:tcW w:w="1667" w:type="pct"/>
          </w:tcPr>
          <w:p w:rsidR="008F27B2" w:rsidRPr="0067680A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7680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8F27B2" w:rsidRPr="0067680A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7680A">
              <w:rPr>
                <w:rFonts w:cs="Arial"/>
                <w:szCs w:val="20"/>
              </w:rPr>
              <w:t>No acceptable outcome</w:t>
            </w:r>
            <w:r>
              <w:rPr>
                <w:rFonts w:cs="Arial"/>
                <w:szCs w:val="20"/>
              </w:rPr>
              <w:t>s are</w:t>
            </w:r>
            <w:r w:rsidRPr="0067680A">
              <w:rPr>
                <w:rFonts w:cs="Arial"/>
                <w:szCs w:val="20"/>
              </w:rPr>
              <w:t xml:space="preserve"> provided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67680A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8F27B2" w:rsidRPr="00271749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F27B2" w:rsidRPr="00FA75EE" w:rsidRDefault="008F27B2" w:rsidP="00524C75">
            <w:pPr>
              <w:rPr>
                <w:rFonts w:cs="Arial"/>
                <w:b/>
                <w:szCs w:val="20"/>
              </w:rPr>
            </w:pPr>
            <w:r w:rsidRPr="00FA75EE">
              <w:rPr>
                <w:rFonts w:cs="Arial"/>
                <w:b/>
                <w:szCs w:val="20"/>
              </w:rPr>
              <w:t>PO5</w:t>
            </w:r>
          </w:p>
          <w:p w:rsidR="008F27B2" w:rsidRDefault="008F27B2" w:rsidP="00524C75">
            <w:r>
              <w:t xml:space="preserve">Development is located, designed, operated and managed to respond to the </w:t>
            </w:r>
            <w:r w:rsidRPr="00586B8C">
              <w:t>characteristics, features and constraints of the site and its surrounds.</w:t>
            </w:r>
          </w:p>
          <w:p w:rsidR="008F27B2" w:rsidRPr="00344B37" w:rsidRDefault="008F27B2" w:rsidP="00524C75"/>
          <w:p w:rsidR="008F27B2" w:rsidRPr="00FA75EE" w:rsidRDefault="008F27B2" w:rsidP="00E305E7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586B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586B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8F27B2" w:rsidRPr="00FA75EE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A75EE">
              <w:rPr>
                <w:rFonts w:cs="Arial"/>
                <w:b/>
                <w:szCs w:val="20"/>
              </w:rPr>
              <w:t>AO5.1</w:t>
            </w:r>
          </w:p>
          <w:p w:rsidR="008F27B2" w:rsidRPr="00FA75EE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A75EE">
              <w:rPr>
                <w:rFonts w:cs="Arial"/>
                <w:szCs w:val="20"/>
              </w:rPr>
              <w:t>Buildings, structures and associated access, infrastructure and private open space are sited:</w:t>
            </w:r>
          </w:p>
          <w:p w:rsidR="008F27B2" w:rsidRPr="00FA75EE" w:rsidRDefault="008F27B2" w:rsidP="00524C75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A75EE">
              <w:rPr>
                <w:rFonts w:cs="Arial"/>
                <w:szCs w:val="20"/>
              </w:rPr>
              <w:t>(a)</w:t>
            </w:r>
            <w:r w:rsidRPr="00FA75EE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w</w:t>
            </w:r>
            <w:r w:rsidRPr="00FA75EE">
              <w:rPr>
                <w:rFonts w:cs="Arial"/>
                <w:szCs w:val="20"/>
              </w:rPr>
              <w:t>ithin areas of the site which are already cleared; or</w:t>
            </w:r>
          </w:p>
          <w:p w:rsidR="008F27B2" w:rsidRPr="00FA75EE" w:rsidRDefault="008F27B2" w:rsidP="00524C75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A75EE">
              <w:rPr>
                <w:rFonts w:cs="Arial"/>
                <w:szCs w:val="20"/>
              </w:rPr>
              <w:t>(b)</w:t>
            </w:r>
            <w:r w:rsidRPr="00FA75EE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w</w:t>
            </w:r>
            <w:r w:rsidRPr="00FA75EE">
              <w:rPr>
                <w:rFonts w:cs="Arial"/>
                <w:szCs w:val="20"/>
              </w:rPr>
              <w:t xml:space="preserve">ithin areas of the site which are environmentally degraded; </w:t>
            </w:r>
          </w:p>
          <w:p w:rsidR="008F27B2" w:rsidRPr="00FA75EE" w:rsidRDefault="008F27B2" w:rsidP="00524C75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A75EE">
              <w:rPr>
                <w:rFonts w:cs="Arial"/>
                <w:szCs w:val="20"/>
              </w:rPr>
              <w:t>(c)</w:t>
            </w:r>
            <w:r w:rsidRPr="00FA75EE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</w:t>
            </w:r>
            <w:r w:rsidRPr="00FA75EE">
              <w:rPr>
                <w:rFonts w:cs="Arial"/>
                <w:szCs w:val="20"/>
              </w:rPr>
              <w:t xml:space="preserve">o minimise additional vegetation clearing.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FA75EE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271749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</w:t>
            </w:r>
            <w:r w:rsidRPr="00271749">
              <w:rPr>
                <w:rFonts w:cs="Arial"/>
                <w:b/>
                <w:szCs w:val="20"/>
              </w:rPr>
              <w:t>.2</w:t>
            </w:r>
          </w:p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6155F">
              <w:rPr>
                <w:rFonts w:cs="Arial"/>
                <w:szCs w:val="20"/>
              </w:rPr>
              <w:t>Buildings and structures and associated infrastructure are not located on slopes greater than 1</w:t>
            </w:r>
            <w:r>
              <w:rPr>
                <w:rFonts w:cs="Arial"/>
                <w:szCs w:val="20"/>
              </w:rPr>
              <w:t xml:space="preserve"> in 6 (16.6%)</w:t>
            </w:r>
            <w:r w:rsidRPr="00A6155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or on a </w:t>
            </w:r>
            <w:r w:rsidRPr="00A6155F">
              <w:rPr>
                <w:rFonts w:cs="Arial"/>
                <w:szCs w:val="20"/>
              </w:rPr>
              <w:t xml:space="preserve">ridgeline.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271749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F27B2" w:rsidRPr="00240FE1" w:rsidRDefault="008F27B2" w:rsidP="00524C75">
            <w:pPr>
              <w:rPr>
                <w:rFonts w:cs="Arial"/>
                <w:b/>
                <w:szCs w:val="20"/>
              </w:rPr>
            </w:pPr>
            <w:r w:rsidRPr="00240FE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8F27B2" w:rsidRPr="00240FE1" w:rsidRDefault="008F27B2" w:rsidP="00524C75">
            <w:r w:rsidRPr="00240FE1">
              <w:t>Buildings and structures are responsive to steep slope through innovative construction techniques so as to:</w:t>
            </w:r>
          </w:p>
          <w:p w:rsidR="008F27B2" w:rsidRDefault="008F27B2" w:rsidP="00524C75">
            <w:pPr>
              <w:ind w:left="426" w:hanging="392"/>
            </w:pPr>
            <w:r>
              <w:t>(a)</w:t>
            </w:r>
            <w:r>
              <w:tab/>
            </w:r>
            <w:r w:rsidRPr="00240FE1">
              <w:t>maintain the geotechnical stability of slopes;</w:t>
            </w:r>
          </w:p>
          <w:p w:rsidR="008F27B2" w:rsidRDefault="008F27B2" w:rsidP="00524C75">
            <w:pPr>
              <w:ind w:left="426" w:hanging="392"/>
            </w:pPr>
            <w:r>
              <w:t>(b)</w:t>
            </w:r>
            <w:r>
              <w:tab/>
            </w:r>
            <w:r w:rsidRPr="00240FE1">
              <w:t xml:space="preserve">minimise </w:t>
            </w:r>
            <w:r>
              <w:t>cut and/or fill</w:t>
            </w:r>
            <w:r w:rsidRPr="00240FE1">
              <w:t>;</w:t>
            </w:r>
          </w:p>
          <w:p w:rsidR="008F27B2" w:rsidRDefault="008F27B2" w:rsidP="00524C75">
            <w:pPr>
              <w:ind w:left="426" w:hanging="392"/>
            </w:pPr>
            <w:r>
              <w:t>(c)</w:t>
            </w:r>
            <w:r>
              <w:tab/>
              <w:t>minimise visual impacts;</w:t>
            </w:r>
          </w:p>
          <w:p w:rsidR="008F27B2" w:rsidRPr="00240FE1" w:rsidRDefault="008F27B2" w:rsidP="00524C75">
            <w:pPr>
              <w:ind w:left="426" w:hanging="392"/>
              <w:rPr>
                <w:rFonts w:cs="Arial"/>
                <w:szCs w:val="20"/>
              </w:rPr>
            </w:pPr>
            <w:r>
              <w:t>(d)</w:t>
            </w:r>
            <w:r>
              <w:tab/>
            </w:r>
            <w:r w:rsidRPr="00240FE1">
              <w:t>minimise the overall height of development.</w:t>
            </w:r>
          </w:p>
          <w:p w:rsidR="008F27B2" w:rsidRDefault="008F27B2" w:rsidP="00524C75">
            <w:pPr>
              <w:rPr>
                <w:rStyle w:val="Strong"/>
              </w:rPr>
            </w:pPr>
          </w:p>
        </w:tc>
        <w:tc>
          <w:tcPr>
            <w:tcW w:w="1667" w:type="pct"/>
          </w:tcPr>
          <w:p w:rsidR="008F27B2" w:rsidRPr="00FA75EE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A75EE">
              <w:rPr>
                <w:rFonts w:cs="Arial"/>
                <w:b/>
                <w:szCs w:val="20"/>
              </w:rPr>
              <w:t>AO6.1</w:t>
            </w:r>
          </w:p>
          <w:p w:rsidR="008F27B2" w:rsidRPr="00FA75EE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A75EE">
              <w:t>Where development on land steeper than 1</w:t>
            </w:r>
            <w:r>
              <w:t xml:space="preserve"> in </w:t>
            </w:r>
            <w:r w:rsidRPr="00FA75EE">
              <w:t>6</w:t>
            </w:r>
            <w:r>
              <w:t xml:space="preserve"> (16.6%)</w:t>
            </w:r>
            <w:r w:rsidRPr="00FA75EE">
              <w:t xml:space="preserve"> cannot be avoided</w:t>
            </w:r>
            <w:r>
              <w:t>,</w:t>
            </w:r>
            <w:r w:rsidRPr="00FA75EE">
              <w:t xml:space="preserve"> development follows the natural contours of the </w:t>
            </w:r>
            <w:r>
              <w:t>site.</w:t>
            </w:r>
            <w:r w:rsidRPr="00FA75EE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FA75EE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271749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F27B2" w:rsidRDefault="008F27B2" w:rsidP="00524C75">
            <w:pPr>
              <w:rPr>
                <w:rStyle w:val="Strong"/>
              </w:rPr>
            </w:pPr>
          </w:p>
        </w:tc>
        <w:tc>
          <w:tcPr>
            <w:tcW w:w="1667" w:type="pct"/>
          </w:tcPr>
          <w:p w:rsidR="008F27B2" w:rsidRPr="005140D7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140D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6.2</w:t>
            </w:r>
          </w:p>
          <w:p w:rsidR="008F27B2" w:rsidRPr="005140D7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140D7">
              <w:rPr>
                <w:rFonts w:cs="Arial"/>
                <w:szCs w:val="20"/>
              </w:rPr>
              <w:t xml:space="preserve">Access and vehicle manoeuvring and parking areas are constructed and maintained to: </w:t>
            </w:r>
          </w:p>
          <w:p w:rsidR="008F27B2" w:rsidRPr="005140D7" w:rsidRDefault="008F27B2" w:rsidP="00524C75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140D7">
              <w:rPr>
                <w:rFonts w:cs="Arial"/>
                <w:szCs w:val="20"/>
              </w:rPr>
              <w:t>(a)</w:t>
            </w:r>
            <w:r w:rsidRPr="005140D7">
              <w:rPr>
                <w:rFonts w:cs="Arial"/>
                <w:szCs w:val="20"/>
              </w:rPr>
              <w:tab/>
              <w:t>minimise erosion;</w:t>
            </w:r>
          </w:p>
          <w:p w:rsidR="008F27B2" w:rsidRPr="005140D7" w:rsidRDefault="008F27B2" w:rsidP="00524C75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140D7">
              <w:rPr>
                <w:rFonts w:cs="Arial"/>
                <w:szCs w:val="20"/>
              </w:rPr>
              <w:t>(b)</w:t>
            </w:r>
            <w:r w:rsidRPr="005140D7">
              <w:rPr>
                <w:rFonts w:cs="Arial"/>
                <w:szCs w:val="20"/>
              </w:rPr>
              <w:tab/>
              <w:t>minimise cut and fill;</w:t>
            </w:r>
          </w:p>
          <w:p w:rsidR="008F27B2" w:rsidRPr="00271749" w:rsidRDefault="008F27B2" w:rsidP="00524C75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140D7">
              <w:rPr>
                <w:rFonts w:cs="Arial"/>
                <w:szCs w:val="20"/>
              </w:rPr>
              <w:lastRenderedPageBreak/>
              <w:t>(c)</w:t>
            </w:r>
            <w:r w:rsidRPr="005140D7">
              <w:rPr>
                <w:rFonts w:cs="Arial"/>
                <w:szCs w:val="20"/>
              </w:rPr>
              <w:tab/>
              <w:t xml:space="preserve">follow the natural contours of the site.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5140D7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2C79EE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8F27B2" w:rsidRPr="00D51B19" w:rsidRDefault="008F27B2" w:rsidP="00524C75">
            <w:pPr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szCs w:val="20"/>
              </w:rPr>
              <w:t xml:space="preserve">The exterior finishes of buildings and structures are consistent with the surrounding natural environment. </w:t>
            </w:r>
          </w:p>
        </w:tc>
        <w:tc>
          <w:tcPr>
            <w:tcW w:w="1667" w:type="pct"/>
          </w:tcPr>
          <w:p w:rsidR="008F27B2" w:rsidRPr="0027174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271749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1749">
              <w:rPr>
                <w:rFonts w:cs="Arial"/>
                <w:szCs w:val="20"/>
              </w:rPr>
              <w:t xml:space="preserve">The exterior finishes and colours of buildings and structures are non-reflective and are </w:t>
            </w:r>
            <w:r w:rsidRPr="00D512A4">
              <w:rPr>
                <w:rFonts w:cs="Arial"/>
                <w:szCs w:val="20"/>
              </w:rPr>
              <w:t>moderately dark to darker shades of olive green, brown, green, blue, or charcoal</w:t>
            </w:r>
            <w:r>
              <w:rPr>
                <w:rFonts w:cs="Arial"/>
                <w:szCs w:val="20"/>
              </w:rPr>
              <w:t xml:space="preserve">; 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 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AO7.2</w:t>
            </w:r>
          </w:p>
          <w:p w:rsidR="008F27B2" w:rsidRPr="00D51B19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The development is not visible external to the site</w:t>
            </w:r>
            <w:r w:rsidRPr="00271749">
              <w:rPr>
                <w:rFonts w:cs="Arial"/>
                <w:szCs w:val="20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D51B19" w:rsidRDefault="008F27B2" w:rsidP="00524C75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D51B19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8</w:t>
            </w:r>
          </w:p>
          <w:p w:rsidR="008F27B2" w:rsidRPr="00D51B19" w:rsidRDefault="008F27B2" w:rsidP="00524C75">
            <w:pPr>
              <w:keepNext/>
              <w:rPr>
                <w:rFonts w:eastAsiaTheme="minorEastAsia" w:cs="Arial"/>
                <w:szCs w:val="20"/>
                <w:highlight w:val="lightGray"/>
                <w:lang w:eastAsia="en-AU"/>
              </w:rPr>
            </w:pPr>
            <w:r w:rsidRPr="00D51B19">
              <w:rPr>
                <w:rFonts w:cs="Arial"/>
                <w:szCs w:val="20"/>
              </w:rPr>
              <w:t>Development does not adversely affect the amenity of the zone and adjoining land uses in terms of traffic, noise, dust, odour, lighting or other physical or environmental impacts.</w:t>
            </w:r>
          </w:p>
        </w:tc>
        <w:tc>
          <w:tcPr>
            <w:tcW w:w="1667" w:type="pct"/>
          </w:tcPr>
          <w:p w:rsidR="008F27B2" w:rsidRPr="00D51B19" w:rsidRDefault="008F27B2" w:rsidP="00524C7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D51B1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8.1</w:t>
            </w:r>
          </w:p>
          <w:p w:rsidR="008F27B2" w:rsidRPr="00D51B19" w:rsidRDefault="008F27B2" w:rsidP="00524C7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 w:rsidRPr="00D51B19">
              <w:t xml:space="preserve">No acceptable outcomes </w:t>
            </w:r>
            <w:r>
              <w:t>are provided</w:t>
            </w:r>
            <w:r w:rsidRPr="00D51B19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D51B19" w:rsidRDefault="008F27B2" w:rsidP="00524C75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F27B2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Density</w:t>
            </w: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PO9</w:t>
            </w:r>
          </w:p>
          <w:p w:rsidR="008F27B2" w:rsidRPr="00271749" w:rsidRDefault="008F27B2" w:rsidP="00524C75">
            <w:pPr>
              <w:rPr>
                <w:rFonts w:cs="Arial"/>
                <w:strike/>
                <w:szCs w:val="20"/>
                <w:highlight w:val="lightGray"/>
              </w:rPr>
            </w:pPr>
            <w:r w:rsidRPr="00271749">
              <w:t>The density of development ensure</w:t>
            </w:r>
            <w:r>
              <w:t>s</w:t>
            </w:r>
            <w:r w:rsidRPr="00271749">
              <w:t xml:space="preserve"> that the environmental and scenic amenity values of the site and surrounding area are not adversely affected. </w:t>
            </w:r>
          </w:p>
        </w:tc>
        <w:tc>
          <w:tcPr>
            <w:tcW w:w="1667" w:type="pct"/>
          </w:tcPr>
          <w:p w:rsidR="008F27B2" w:rsidRPr="00271749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7174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9.1</w:t>
            </w:r>
          </w:p>
          <w:p w:rsidR="008F27B2" w:rsidRPr="00271749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1749">
              <w:rPr>
                <w:rFonts w:cs="Arial"/>
                <w:szCs w:val="20"/>
              </w:rPr>
              <w:t xml:space="preserve">The maximum residential density is one </w:t>
            </w:r>
            <w:r>
              <w:rPr>
                <w:rFonts w:cs="Arial"/>
                <w:szCs w:val="20"/>
              </w:rPr>
              <w:t>dwelling house per lot.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271749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Lot reconfiguration</w:t>
            </w: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462D25" w:rsidRDefault="008F27B2" w:rsidP="00524C75">
            <w:pPr>
              <w:rPr>
                <w:rFonts w:cs="Arial"/>
                <w:b/>
                <w:szCs w:val="20"/>
              </w:rPr>
            </w:pPr>
            <w:r w:rsidRPr="00462D25">
              <w:rPr>
                <w:rFonts w:cs="Arial"/>
                <w:b/>
                <w:szCs w:val="20"/>
              </w:rPr>
              <w:t>PO10</w:t>
            </w:r>
          </w:p>
          <w:p w:rsidR="008F27B2" w:rsidRPr="00DE638E" w:rsidRDefault="008F27B2" w:rsidP="00524C75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462D25">
              <w:t>Lot reconfiguration re</w:t>
            </w:r>
            <w:r w:rsidRPr="00462D25">
              <w:rPr>
                <w:rFonts w:cs="Arial"/>
                <w:szCs w:val="20"/>
              </w:rPr>
              <w:t>sults in no additional lots</w:t>
            </w:r>
            <w:r>
              <w:rPr>
                <w:rFonts w:cs="Arial"/>
                <w:szCs w:val="20"/>
              </w:rPr>
              <w:t>, except where associated with a lease exceeding 10 years and associated with an existing or approved Telecommunications facility.</w:t>
            </w:r>
          </w:p>
        </w:tc>
        <w:tc>
          <w:tcPr>
            <w:tcW w:w="1667" w:type="pct"/>
          </w:tcPr>
          <w:p w:rsidR="008F27B2" w:rsidRPr="00462D25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462D25">
              <w:rPr>
                <w:rFonts w:cs="Arial"/>
                <w:b/>
                <w:szCs w:val="20"/>
              </w:rPr>
              <w:t>AO10.1</w:t>
            </w:r>
          </w:p>
          <w:p w:rsidR="008F27B2" w:rsidRPr="00462D25" w:rsidRDefault="008F27B2" w:rsidP="00524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highlight w:val="yellow"/>
              </w:rPr>
            </w:pPr>
            <w:r w:rsidRPr="00462D25">
              <w:t>No acceptable outcome</w:t>
            </w:r>
            <w:r>
              <w:t>s are</w:t>
            </w:r>
            <w:r w:rsidRPr="00462D25">
              <w:t xml:space="preserve">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462D25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keepNext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Additional requirements for Environmental management precinct 2 – Russell Heads</w:t>
            </w: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keepNext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Water supply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51484C" w:rsidRDefault="008F27B2" w:rsidP="00524C75">
            <w:pPr>
              <w:keepNext/>
              <w:rPr>
                <w:b/>
                <w:lang w:val="en-GB"/>
              </w:rPr>
            </w:pPr>
            <w:r w:rsidRPr="0051484C">
              <w:rPr>
                <w:b/>
                <w:lang w:val="en-GB"/>
              </w:rPr>
              <w:t>PO11</w:t>
            </w:r>
          </w:p>
          <w:p w:rsidR="008F27B2" w:rsidRPr="00462D25" w:rsidRDefault="008F27B2" w:rsidP="00524C75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lang w:val="en-GB"/>
              </w:rPr>
              <w:t xml:space="preserve">An adequate, safe and reliable supply of potable, firefighting and general use water </w:t>
            </w:r>
            <w:r w:rsidRPr="004E1471">
              <w:rPr>
                <w:lang w:val="en-GB"/>
              </w:rPr>
              <w:t>is</w:t>
            </w:r>
            <w:r>
              <w:rPr>
                <w:lang w:val="en-GB"/>
              </w:rPr>
              <w:t xml:space="preserve"> provided.</w:t>
            </w:r>
          </w:p>
        </w:tc>
        <w:tc>
          <w:tcPr>
            <w:tcW w:w="1667" w:type="pct"/>
          </w:tcPr>
          <w:p w:rsidR="008F27B2" w:rsidRPr="0051484C" w:rsidRDefault="008F27B2" w:rsidP="00524C7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1484C">
              <w:rPr>
                <w:rFonts w:cs="Arial"/>
                <w:b/>
                <w:szCs w:val="20"/>
              </w:rPr>
              <w:t>AO11.1</w:t>
            </w:r>
          </w:p>
          <w:p w:rsidR="008F27B2" w:rsidRPr="0051484C" w:rsidRDefault="008F27B2" w:rsidP="00524C7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1484C"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51484C" w:rsidRDefault="008F27B2" w:rsidP="00524C75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Treatment and disposal of effluent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51484C" w:rsidRDefault="008F27B2" w:rsidP="00524C75">
            <w:pPr>
              <w:rPr>
                <w:b/>
                <w:lang w:val="en-GB"/>
              </w:rPr>
            </w:pPr>
            <w:r w:rsidRPr="0051484C">
              <w:rPr>
                <w:b/>
                <w:lang w:val="en-GB"/>
              </w:rPr>
              <w:t>PO12</w:t>
            </w:r>
          </w:p>
          <w:p w:rsidR="008F27B2" w:rsidRPr="00462D25" w:rsidRDefault="008F27B2" w:rsidP="00524C75">
            <w:pPr>
              <w:rPr>
                <w:rFonts w:cs="Arial"/>
                <w:b/>
                <w:szCs w:val="20"/>
              </w:rPr>
            </w:pPr>
            <w:r>
              <w:rPr>
                <w:lang w:val="en-GB"/>
              </w:rPr>
              <w:t>Provision is made for the treatment and disposal of effluent to ensure that there are no adverse impacts on water quality and no adverse ecological impacts as a result of the system or as a result of increasing the cumulative effect of systems in the locality.</w:t>
            </w:r>
          </w:p>
        </w:tc>
        <w:tc>
          <w:tcPr>
            <w:tcW w:w="1667" w:type="pct"/>
          </w:tcPr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AO12.1</w:t>
            </w: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E149AD">
              <w:rPr>
                <w:rFonts w:cs="Arial"/>
                <w:szCs w:val="20"/>
              </w:rPr>
              <w:t xml:space="preserve">he </w:t>
            </w:r>
            <w:r>
              <w:rPr>
                <w:rFonts w:cs="Arial"/>
                <w:szCs w:val="20"/>
              </w:rPr>
              <w:t xml:space="preserve">effluent </w:t>
            </w:r>
            <w:r w:rsidRPr="00E149AD">
              <w:rPr>
                <w:rFonts w:cs="Arial"/>
                <w:szCs w:val="20"/>
              </w:rPr>
              <w:t>disposal system</w:t>
            </w:r>
            <w:r>
              <w:rPr>
                <w:rFonts w:cs="Arial"/>
                <w:szCs w:val="20"/>
              </w:rPr>
              <w:t>:</w:t>
            </w:r>
          </w:p>
          <w:p w:rsidR="008F27B2" w:rsidRPr="00E149AD" w:rsidRDefault="008F27B2" w:rsidP="00524C75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E149AD">
              <w:rPr>
                <w:rFonts w:cs="Arial"/>
                <w:szCs w:val="20"/>
              </w:rPr>
              <w:t xml:space="preserve">meets the requirements of Section 33 of the </w:t>
            </w:r>
            <w:r w:rsidRPr="003425EB">
              <w:rPr>
                <w:rFonts w:cs="Arial"/>
                <w:i/>
                <w:szCs w:val="20"/>
              </w:rPr>
              <w:t>Environmental Protection Policy (Water) 1997</w:t>
            </w:r>
            <w:r w:rsidRPr="00E149AD">
              <w:rPr>
                <w:rFonts w:cs="Arial"/>
                <w:szCs w:val="20"/>
              </w:rPr>
              <w:t xml:space="preserve">; </w:t>
            </w:r>
          </w:p>
          <w:p w:rsidR="008F27B2" w:rsidRPr="00462D25" w:rsidRDefault="008F27B2" w:rsidP="00524C75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E149AD">
              <w:rPr>
                <w:rFonts w:cs="Arial"/>
                <w:szCs w:val="20"/>
              </w:rPr>
              <w:t>(b)</w:t>
            </w:r>
            <w:r w:rsidRPr="00E149AD">
              <w:rPr>
                <w:rFonts w:cs="Arial"/>
                <w:szCs w:val="20"/>
              </w:rPr>
              <w:tab/>
              <w:t xml:space="preserve">is designed in accordance with the </w:t>
            </w:r>
            <w:r w:rsidRPr="003425EB">
              <w:rPr>
                <w:rFonts w:cs="Arial"/>
                <w:i/>
                <w:szCs w:val="20"/>
              </w:rPr>
              <w:t>Plumbing and Drainage Act (2002)</w:t>
            </w:r>
            <w:r w:rsidRPr="00E149AD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Stormwater quality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51484C" w:rsidRDefault="008F27B2" w:rsidP="00524C75">
            <w:pPr>
              <w:pStyle w:val="TableText"/>
              <w:spacing w:before="0"/>
              <w:rPr>
                <w:rFonts w:cs="Arial"/>
                <w:b/>
                <w:bCs/>
                <w:sz w:val="20"/>
                <w:lang w:val="en-GB"/>
              </w:rPr>
            </w:pPr>
            <w:r w:rsidRPr="0051484C">
              <w:rPr>
                <w:rFonts w:cs="Arial"/>
                <w:b/>
                <w:bCs/>
                <w:sz w:val="20"/>
                <w:lang w:val="en-GB"/>
              </w:rPr>
              <w:t>PO13</w:t>
            </w:r>
          </w:p>
          <w:p w:rsidR="008F27B2" w:rsidRDefault="008F27B2" w:rsidP="00524C75">
            <w:pPr>
              <w:pStyle w:val="TableText"/>
              <w:spacing w:before="0"/>
              <w:rPr>
                <w:rFonts w:cs="Arial"/>
                <w:bCs/>
                <w:sz w:val="20"/>
                <w:lang w:val="en-GB"/>
              </w:rPr>
            </w:pPr>
            <w:r w:rsidRPr="004E696D">
              <w:rPr>
                <w:rFonts w:cs="Arial"/>
                <w:bCs/>
                <w:sz w:val="20"/>
                <w:lang w:val="en-GB"/>
              </w:rPr>
              <w:t>Development is planned, design</w:t>
            </w:r>
            <w:r>
              <w:rPr>
                <w:rFonts w:cs="Arial"/>
                <w:bCs/>
                <w:sz w:val="20"/>
                <w:lang w:val="en-GB"/>
              </w:rPr>
              <w:t>ed</w:t>
            </w:r>
            <w:r w:rsidRPr="004E696D">
              <w:rPr>
                <w:rFonts w:cs="Arial"/>
                <w:bCs/>
                <w:sz w:val="20"/>
                <w:lang w:val="en-GB"/>
              </w:rPr>
              <w:t>, constructed and operated to avoid or minimise advers</w:t>
            </w:r>
            <w:r>
              <w:rPr>
                <w:rFonts w:cs="Arial"/>
                <w:bCs/>
                <w:sz w:val="20"/>
                <w:lang w:val="en-GB"/>
              </w:rPr>
              <w:t>e impacts on stormwater quality in natural and developed catchments by:</w:t>
            </w:r>
          </w:p>
          <w:p w:rsidR="008F27B2" w:rsidRDefault="008F27B2" w:rsidP="00524C75">
            <w:pPr>
              <w:pStyle w:val="TableText"/>
              <w:spacing w:before="0"/>
              <w:ind w:left="426" w:hanging="426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(a)</w:t>
            </w:r>
            <w:r>
              <w:rPr>
                <w:rFonts w:cs="Arial"/>
                <w:bCs/>
                <w:sz w:val="20"/>
                <w:lang w:val="en-GB"/>
              </w:rPr>
              <w:tab/>
              <w:t>achieving stormwater quality objectives;</w:t>
            </w:r>
          </w:p>
          <w:p w:rsidR="008F27B2" w:rsidRDefault="008F27B2" w:rsidP="00524C75">
            <w:pPr>
              <w:pStyle w:val="TableText"/>
              <w:spacing w:before="0"/>
              <w:ind w:left="426" w:hanging="426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(b)</w:t>
            </w:r>
            <w:r>
              <w:rPr>
                <w:rFonts w:cs="Arial"/>
                <w:bCs/>
                <w:sz w:val="20"/>
                <w:lang w:val="en-GB"/>
              </w:rPr>
              <w:tab/>
              <w:t>protecting water environmental values;</w:t>
            </w:r>
          </w:p>
          <w:p w:rsidR="008F27B2" w:rsidRPr="00462D25" w:rsidRDefault="008F27B2" w:rsidP="00524C75">
            <w:pPr>
              <w:ind w:left="426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lang w:val="en-GB"/>
              </w:rPr>
              <w:t>(c)</w:t>
            </w:r>
            <w:r>
              <w:rPr>
                <w:rFonts w:cs="Arial"/>
                <w:bCs/>
                <w:lang w:val="en-GB"/>
              </w:rPr>
              <w:tab/>
              <w:t>maintaining waterway hydrology.</w:t>
            </w:r>
          </w:p>
        </w:tc>
        <w:tc>
          <w:tcPr>
            <w:tcW w:w="1667" w:type="pct"/>
          </w:tcPr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AO13.1</w:t>
            </w:r>
          </w:p>
          <w:p w:rsidR="008F27B2" w:rsidRPr="00462D25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12B7A"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Wastewater discharge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51484C" w:rsidRDefault="008F27B2" w:rsidP="00524C75">
            <w:pPr>
              <w:pStyle w:val="TableText"/>
              <w:spacing w:before="0"/>
              <w:ind w:right="55"/>
              <w:rPr>
                <w:rFonts w:cs="Arial"/>
                <w:b/>
                <w:bCs/>
                <w:sz w:val="20"/>
                <w:lang w:val="en-GB"/>
              </w:rPr>
            </w:pPr>
            <w:r w:rsidRPr="0051484C">
              <w:rPr>
                <w:rFonts w:cs="Arial"/>
                <w:b/>
                <w:bCs/>
                <w:sz w:val="20"/>
                <w:lang w:val="en-GB"/>
              </w:rPr>
              <w:t>PO14</w:t>
            </w:r>
          </w:p>
          <w:p w:rsidR="008F27B2" w:rsidRDefault="008F27B2" w:rsidP="00524C75">
            <w:pPr>
              <w:pStyle w:val="TableText"/>
              <w:spacing w:before="0"/>
              <w:ind w:right="55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Discharge of wastewater to waterways, or off site:</w:t>
            </w:r>
          </w:p>
          <w:p w:rsidR="008F27B2" w:rsidRDefault="008F27B2" w:rsidP="00524C75">
            <w:pPr>
              <w:pStyle w:val="TableText"/>
              <w:spacing w:before="0"/>
              <w:ind w:left="426" w:right="55" w:hanging="426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(a)</w:t>
            </w:r>
            <w:r>
              <w:rPr>
                <w:rFonts w:cs="Arial"/>
                <w:bCs/>
                <w:sz w:val="20"/>
                <w:lang w:val="en-GB"/>
              </w:rPr>
              <w:tab/>
              <w:t>meets best practice environmental management;</w:t>
            </w:r>
          </w:p>
          <w:p w:rsidR="008F27B2" w:rsidRDefault="008F27B2" w:rsidP="00524C75">
            <w:pPr>
              <w:pStyle w:val="TableText"/>
              <w:spacing w:before="0"/>
              <w:ind w:left="426" w:right="55" w:hanging="426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(b)</w:t>
            </w:r>
            <w:r>
              <w:rPr>
                <w:rFonts w:cs="Arial"/>
                <w:bCs/>
                <w:sz w:val="20"/>
                <w:lang w:val="en-GB"/>
              </w:rPr>
              <w:tab/>
              <w:t>is treated to:</w:t>
            </w:r>
          </w:p>
          <w:p w:rsidR="008F27B2" w:rsidRDefault="008F27B2" w:rsidP="00524C75">
            <w:pPr>
              <w:pStyle w:val="TableText"/>
              <w:spacing w:before="0"/>
              <w:ind w:left="851" w:right="55" w:hanging="425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</w:t>
            </w:r>
            <w:proofErr w:type="spellStart"/>
            <w:r>
              <w:rPr>
                <w:rFonts w:cs="Arial"/>
                <w:bCs/>
                <w:sz w:val="20"/>
                <w:lang w:val="en-GB"/>
              </w:rPr>
              <w:t>i</w:t>
            </w:r>
            <w:proofErr w:type="spellEnd"/>
            <w:r>
              <w:rPr>
                <w:rFonts w:cs="Arial"/>
                <w:bCs/>
                <w:sz w:val="20"/>
                <w:lang w:val="en-GB"/>
              </w:rPr>
              <w:t>)</w:t>
            </w:r>
            <w:r>
              <w:rPr>
                <w:rFonts w:cs="Arial"/>
                <w:bCs/>
                <w:sz w:val="20"/>
                <w:lang w:val="en-GB"/>
              </w:rPr>
              <w:tab/>
              <w:t>meet water quality objectives for its receiving waters;</w:t>
            </w:r>
          </w:p>
          <w:p w:rsidR="008F27B2" w:rsidRDefault="008F27B2" w:rsidP="00524C75">
            <w:pPr>
              <w:pStyle w:val="TableText"/>
              <w:spacing w:before="0"/>
              <w:ind w:left="851" w:right="55" w:hanging="425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(ii)</w:t>
            </w:r>
            <w:r>
              <w:rPr>
                <w:rFonts w:cs="Arial"/>
                <w:bCs/>
                <w:sz w:val="20"/>
                <w:lang w:val="en-GB"/>
              </w:rPr>
              <w:tab/>
              <w:t>avoid adverse impact on ecosystem health or waterway health;</w:t>
            </w:r>
          </w:p>
          <w:p w:rsidR="008F27B2" w:rsidRDefault="008F27B2" w:rsidP="00524C75">
            <w:pPr>
              <w:pStyle w:val="TableText"/>
              <w:spacing w:before="0"/>
              <w:ind w:left="851" w:right="55" w:hanging="425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(iii)</w:t>
            </w:r>
            <w:r>
              <w:rPr>
                <w:rFonts w:cs="Arial"/>
                <w:bCs/>
                <w:sz w:val="20"/>
                <w:lang w:val="en-GB"/>
              </w:rPr>
              <w:tab/>
              <w:t>maintain ecological processes, riparian vegetation and waterway integrity;</w:t>
            </w:r>
          </w:p>
          <w:p w:rsidR="008F27B2" w:rsidRPr="00462D25" w:rsidRDefault="008F27B2" w:rsidP="00524C75">
            <w:pPr>
              <w:ind w:left="851" w:hanging="425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Cs/>
                <w:lang w:val="en-GB"/>
              </w:rPr>
              <w:t>(iv)</w:t>
            </w:r>
            <w:r>
              <w:rPr>
                <w:rFonts w:cs="Arial"/>
                <w:bCs/>
                <w:lang w:val="en-GB"/>
              </w:rPr>
              <w:tab/>
              <w:t xml:space="preserve">offset impacts on high ecological value </w:t>
            </w:r>
            <w:r>
              <w:rPr>
                <w:rFonts w:cs="Arial"/>
                <w:bCs/>
                <w:lang w:val="en-GB"/>
              </w:rPr>
              <w:lastRenderedPageBreak/>
              <w:t>waters.</w:t>
            </w:r>
          </w:p>
        </w:tc>
        <w:tc>
          <w:tcPr>
            <w:tcW w:w="1667" w:type="pct"/>
          </w:tcPr>
          <w:p w:rsidR="008F27B2" w:rsidRPr="0051484C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1484C">
              <w:rPr>
                <w:rFonts w:cs="Arial"/>
                <w:b/>
                <w:szCs w:val="20"/>
              </w:rPr>
              <w:lastRenderedPageBreak/>
              <w:t>AO14.1</w:t>
            </w:r>
          </w:p>
          <w:p w:rsidR="008F27B2" w:rsidRPr="00462D25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312B7A"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51484C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Electricity supply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Default="008F27B2" w:rsidP="00524C7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PO15</w:t>
            </w:r>
          </w:p>
          <w:p w:rsidR="008F27B2" w:rsidRDefault="008F27B2" w:rsidP="00524C75">
            <w:pPr>
              <w:rPr>
                <w:rStyle w:val="Strong"/>
              </w:rPr>
            </w:pPr>
            <w:r>
              <w:t>Development is provided with a source of power that will meet its energy needs.</w:t>
            </w:r>
          </w:p>
        </w:tc>
        <w:tc>
          <w:tcPr>
            <w:tcW w:w="1667" w:type="pct"/>
          </w:tcPr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AO15.1</w:t>
            </w:r>
          </w:p>
          <w:p w:rsidR="008F27B2" w:rsidRDefault="008F27B2" w:rsidP="00524C75">
            <w:pPr>
              <w:pStyle w:val="TableText"/>
              <w:tabs>
                <w:tab w:val="left" w:pos="972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0"/>
                <w:szCs w:val="24"/>
                <w:lang w:eastAsia="en-AU"/>
              </w:rPr>
            </w:pPr>
            <w:r>
              <w:rPr>
                <w:spacing w:val="0"/>
                <w:sz w:val="20"/>
                <w:szCs w:val="24"/>
                <w:lang w:eastAsia="en-AU"/>
              </w:rPr>
              <w:t xml:space="preserve">A connection is provided from the </w:t>
            </w:r>
            <w:r w:rsidRPr="000F0130">
              <w:rPr>
                <w:spacing w:val="0"/>
                <w:sz w:val="20"/>
                <w:szCs w:val="24"/>
                <w:lang w:eastAsia="en-AU"/>
              </w:rPr>
              <w:t xml:space="preserve">premises to the </w:t>
            </w:r>
            <w:r>
              <w:rPr>
                <w:spacing w:val="0"/>
                <w:sz w:val="20"/>
                <w:szCs w:val="24"/>
                <w:lang w:eastAsia="en-AU"/>
              </w:rPr>
              <w:t>electricity distribution network;</w:t>
            </w:r>
            <w:r w:rsidRPr="000F0130">
              <w:rPr>
                <w:spacing w:val="0"/>
                <w:sz w:val="20"/>
                <w:szCs w:val="24"/>
                <w:lang w:eastAsia="en-AU"/>
              </w:rPr>
              <w:t xml:space="preserve"> </w:t>
            </w:r>
          </w:p>
          <w:p w:rsidR="008F27B2" w:rsidRDefault="008F27B2" w:rsidP="00524C75">
            <w:pPr>
              <w:pStyle w:val="TableText"/>
              <w:tabs>
                <w:tab w:val="left" w:pos="972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0"/>
                <w:szCs w:val="24"/>
                <w:lang w:eastAsia="en-AU"/>
              </w:rPr>
            </w:pPr>
          </w:p>
          <w:p w:rsidR="008F27B2" w:rsidRDefault="008F27B2" w:rsidP="00524C75">
            <w:pPr>
              <w:pStyle w:val="TableText"/>
              <w:tabs>
                <w:tab w:val="left" w:pos="972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0"/>
                <w:szCs w:val="24"/>
                <w:lang w:eastAsia="en-AU"/>
              </w:rPr>
            </w:pPr>
            <w:r>
              <w:rPr>
                <w:spacing w:val="0"/>
                <w:sz w:val="20"/>
                <w:szCs w:val="24"/>
                <w:lang w:eastAsia="en-AU"/>
              </w:rPr>
              <w:t>or</w:t>
            </w:r>
          </w:p>
          <w:p w:rsidR="008F27B2" w:rsidRDefault="008F27B2" w:rsidP="00524C75">
            <w:pPr>
              <w:pStyle w:val="TableText"/>
              <w:tabs>
                <w:tab w:val="left" w:pos="972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0"/>
                <w:szCs w:val="24"/>
                <w:lang w:eastAsia="en-AU"/>
              </w:rPr>
            </w:pPr>
          </w:p>
          <w:p w:rsidR="008F27B2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AO15.2</w:t>
            </w:r>
          </w:p>
          <w:p w:rsidR="008F27B2" w:rsidRPr="00462D25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t xml:space="preserve">The premises </w:t>
            </w:r>
            <w:proofErr w:type="gramStart"/>
            <w:r>
              <w:t>is connected</w:t>
            </w:r>
            <w:proofErr w:type="gramEnd"/>
            <w:r>
              <w:t xml:space="preserve"> to the </w:t>
            </w:r>
            <w:r w:rsidRPr="001D54DA">
              <w:t>electricity</w:t>
            </w:r>
            <w:r>
              <w:t xml:space="preserve"> distribution</w:t>
            </w:r>
            <w:r w:rsidRPr="001D54DA">
              <w:t xml:space="preserve"> network in accordance with the Design Guidelines set out in Section D8 of the </w:t>
            </w:r>
            <w:r w:rsidRPr="0099670A">
              <w:rPr>
                <w:lang w:val="en-GB"/>
              </w:rPr>
              <w:t>Planning scheme</w:t>
            </w:r>
            <w:r w:rsidRPr="00942123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p</w:t>
            </w:r>
            <w:r w:rsidRPr="00942123">
              <w:rPr>
                <w:rFonts w:cs="Arial"/>
                <w:szCs w:val="20"/>
                <w:lang w:val="en-GB"/>
              </w:rPr>
              <w:t xml:space="preserve">olicy </w:t>
            </w:r>
            <w:r>
              <w:rPr>
                <w:rFonts w:cs="Arial"/>
                <w:szCs w:val="20"/>
                <w:lang w:val="en-GB"/>
              </w:rPr>
              <w:t xml:space="preserve">– FNQROC Regional </w:t>
            </w:r>
            <w:r w:rsidRPr="00942123">
              <w:rPr>
                <w:rFonts w:cs="Arial"/>
                <w:szCs w:val="20"/>
                <w:lang w:val="en-GB"/>
              </w:rPr>
              <w:t>Development Manual</w:t>
            </w:r>
            <w: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E305E7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Telecommunications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Pr="00A1341B" w:rsidRDefault="008F27B2" w:rsidP="00E305E7">
            <w:pPr>
              <w:keepNext/>
              <w:rPr>
                <w:rFonts w:cs="Arial"/>
                <w:szCs w:val="20"/>
              </w:rPr>
            </w:pPr>
            <w:r w:rsidRPr="00A1341B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16</w:t>
            </w:r>
          </w:p>
          <w:p w:rsidR="008F27B2" w:rsidRDefault="008F27B2" w:rsidP="00E305E7">
            <w:pPr>
              <w:keepNext/>
              <w:rPr>
                <w:rStyle w:val="Strong"/>
              </w:rPr>
            </w:pPr>
            <w:r w:rsidRPr="00A1341B">
              <w:rPr>
                <w:rFonts w:cs="Arial"/>
                <w:szCs w:val="20"/>
              </w:rPr>
              <w:t>Development is connected to a telecommunications service approved by the relevant telecommunication regulatory authority.</w:t>
            </w:r>
          </w:p>
        </w:tc>
        <w:tc>
          <w:tcPr>
            <w:tcW w:w="1667" w:type="pct"/>
          </w:tcPr>
          <w:p w:rsidR="008F27B2" w:rsidRPr="00A1341B" w:rsidRDefault="008F27B2" w:rsidP="00E305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341B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16</w:t>
            </w:r>
            <w:r w:rsidRPr="00A1341B">
              <w:rPr>
                <w:rFonts w:cs="Arial"/>
                <w:b/>
                <w:szCs w:val="20"/>
              </w:rPr>
              <w:t>.1</w:t>
            </w:r>
          </w:p>
          <w:p w:rsidR="008F27B2" w:rsidRPr="00462D25" w:rsidRDefault="008F27B2" w:rsidP="00E305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341B">
              <w:rPr>
                <w:rFonts w:cs="Arial"/>
                <w:szCs w:val="20"/>
              </w:rPr>
              <w:t>The development is connected to telecommunications infrastructure in accordance with the standards of the relevant regulatory authority.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A1341B" w:rsidRDefault="008F27B2" w:rsidP="00E305E7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F27B2" w:rsidRPr="005A3A6F" w:rsidTr="008F27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F27B2" w:rsidRDefault="008F27B2" w:rsidP="00524C75">
            <w:pPr>
              <w:rPr>
                <w:rStyle w:val="Strong"/>
              </w:rPr>
            </w:pPr>
            <w:r>
              <w:rPr>
                <w:rStyle w:val="Strong"/>
              </w:rPr>
              <w:t>Trade waste</w:t>
            </w:r>
          </w:p>
        </w:tc>
      </w:tr>
      <w:tr w:rsidR="008F27B2" w:rsidRPr="005A3A6F" w:rsidTr="008F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F27B2" w:rsidRDefault="008F27B2" w:rsidP="00524C75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PO17</w:t>
            </w:r>
          </w:p>
          <w:p w:rsidR="008F27B2" w:rsidRDefault="008F27B2" w:rsidP="00524C75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Where relevant, the development is capable of providing for the storage, collection treatment and disposal of trade waste such that:</w:t>
            </w:r>
          </w:p>
          <w:p w:rsidR="008F27B2" w:rsidRDefault="008F27B2" w:rsidP="00524C75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off-site releases of contaminants do not occur;</w:t>
            </w:r>
          </w:p>
          <w:p w:rsidR="008F27B2" w:rsidRDefault="008F27B2" w:rsidP="00524C75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the health and safety of people and the environment are protected;</w:t>
            </w:r>
          </w:p>
          <w:p w:rsidR="008F27B2" w:rsidRDefault="008F27B2" w:rsidP="00524C75">
            <w:pPr>
              <w:ind w:left="426" w:hanging="426"/>
              <w:rPr>
                <w:rStyle w:val="Strong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the performance of the wastewater system is not put at risk.</w:t>
            </w:r>
          </w:p>
        </w:tc>
        <w:tc>
          <w:tcPr>
            <w:tcW w:w="1667" w:type="pct"/>
          </w:tcPr>
          <w:p w:rsidR="008F27B2" w:rsidRPr="00312B7A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12B7A">
              <w:rPr>
                <w:rFonts w:cs="Arial"/>
                <w:b/>
                <w:szCs w:val="20"/>
              </w:rPr>
              <w:t>AO1</w:t>
            </w:r>
            <w:r>
              <w:rPr>
                <w:rFonts w:cs="Arial"/>
                <w:b/>
                <w:szCs w:val="20"/>
              </w:rPr>
              <w:t>7</w:t>
            </w:r>
            <w:r w:rsidRPr="00312B7A">
              <w:rPr>
                <w:rFonts w:cs="Arial"/>
                <w:b/>
                <w:szCs w:val="20"/>
              </w:rPr>
              <w:t>.1</w:t>
            </w:r>
          </w:p>
          <w:p w:rsidR="008F27B2" w:rsidRPr="00462D25" w:rsidRDefault="008F27B2" w:rsidP="0052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12B7A"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F27B2" w:rsidRPr="00312B7A" w:rsidRDefault="008F27B2" w:rsidP="00524C75">
            <w:pPr>
              <w:rPr>
                <w:rFonts w:cs="Arial"/>
                <w:b/>
                <w:szCs w:val="20"/>
              </w:rPr>
            </w:pPr>
          </w:p>
        </w:tc>
      </w:tr>
    </w:tbl>
    <w:p w:rsidR="00CF36CC" w:rsidRDefault="00CF36CC"/>
    <w:sectPr w:rsidR="00CF36CC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2F" w:rsidRDefault="0019732F">
      <w:pPr>
        <w:spacing w:after="0" w:line="240" w:lineRule="auto"/>
      </w:pPr>
      <w:r>
        <w:separator/>
      </w:r>
    </w:p>
  </w:endnote>
  <w:endnote w:type="continuationSeparator" w:id="0">
    <w:p w:rsidR="0019732F" w:rsidRDefault="001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47C9833" wp14:editId="7AE7B131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2585AEBF" wp14:editId="148D984D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286360" w:rsidRDefault="00107CB9" w:rsidP="00286360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8F27B2" w:rsidRPr="008F27B2">
              <w:rPr>
                <w:color w:val="0064A7"/>
                <w:sz w:val="16"/>
                <w:szCs w:val="16"/>
              </w:rPr>
              <w:t>6.2.5</w:t>
            </w:r>
            <w:r w:rsidR="008F27B2" w:rsidRPr="008F27B2">
              <w:rPr>
                <w:color w:val="0064A7"/>
                <w:sz w:val="16"/>
                <w:szCs w:val="16"/>
              </w:rPr>
              <w:tab/>
            </w:r>
            <w:r w:rsidR="008F27B2">
              <w:rPr>
                <w:color w:val="0064A7"/>
                <w:sz w:val="16"/>
                <w:szCs w:val="16"/>
              </w:rPr>
              <w:t xml:space="preserve"> </w:t>
            </w:r>
            <w:r w:rsidR="008F27B2" w:rsidRPr="008F27B2">
              <w:rPr>
                <w:color w:val="0064A7"/>
                <w:sz w:val="16"/>
                <w:szCs w:val="16"/>
              </w:rPr>
              <w:t>Environmental management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7B2379">
              <w:rPr>
                <w:color w:val="0064A7"/>
                <w:sz w:val="16"/>
                <w:szCs w:val="16"/>
              </w:rPr>
              <w:t xml:space="preserve">     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B2379">
              <w:rPr>
                <w:noProof/>
                <w:color w:val="0064A7"/>
                <w:sz w:val="16"/>
                <w:szCs w:val="16"/>
              </w:rPr>
              <w:t>6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B2379">
              <w:rPr>
                <w:noProof/>
                <w:color w:val="0064A7"/>
                <w:sz w:val="16"/>
                <w:szCs w:val="16"/>
              </w:rPr>
              <w:t>6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2F" w:rsidRDefault="0019732F">
      <w:pPr>
        <w:spacing w:after="0" w:line="240" w:lineRule="auto"/>
      </w:pPr>
      <w:r>
        <w:separator/>
      </w:r>
    </w:p>
  </w:footnote>
  <w:footnote w:type="continuationSeparator" w:id="0">
    <w:p w:rsidR="0019732F" w:rsidRDefault="0019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58E4D421" wp14:editId="5DAAEC73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13DD84A" wp14:editId="3C9F4090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29448864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9732F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42D95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360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B40E3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2379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2AF0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27B2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3CC7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F35386"/>
  <w15:docId w15:val="{07DF1092-57D0-4DF3-AB6F-CFBE9C2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BCD4-8D76-4C8E-899E-0FC9F438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2016-02-26T03:54:00Z</dcterms:created>
  <dcterms:modified xsi:type="dcterms:W3CDTF">2019-10-31T22:45:00Z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