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DD" w:rsidRPr="005A77FA" w:rsidRDefault="00893EDD" w:rsidP="005E55B3">
      <w:pPr>
        <w:pStyle w:val="Heading3"/>
        <w:numPr>
          <w:ilvl w:val="2"/>
          <w:numId w:val="65"/>
        </w:numPr>
      </w:pPr>
      <w:r>
        <w:t>Tourism zone code</w:t>
      </w:r>
    </w:p>
    <w:p w:rsidR="00893EDD" w:rsidRPr="005A77FA" w:rsidRDefault="00893EDD" w:rsidP="00893EDD">
      <w:pPr>
        <w:pStyle w:val="Heading4"/>
      </w:pPr>
      <w:r w:rsidRPr="005A77FA">
        <w:t>Application</w:t>
      </w:r>
    </w:p>
    <w:p w:rsidR="00893EDD" w:rsidRPr="004848FB" w:rsidRDefault="00893EDD" w:rsidP="004848FB">
      <w:pPr>
        <w:pStyle w:val="Reportbodytext"/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>This code applies to assessing development in the Tourism zone.</w:t>
      </w:r>
    </w:p>
    <w:p w:rsidR="00893EDD" w:rsidRPr="004848FB" w:rsidRDefault="00893EDD" w:rsidP="004848FB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893EDD" w:rsidRPr="004848FB" w:rsidRDefault="00893EDD" w:rsidP="004848FB">
      <w:pPr>
        <w:pStyle w:val="Reportbodytext"/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>When using this code, reference should be made to Part 5.</w:t>
      </w:r>
    </w:p>
    <w:p w:rsidR="00893EDD" w:rsidRDefault="00893EDD" w:rsidP="00893EDD">
      <w:pPr>
        <w:pStyle w:val="Heading4"/>
      </w:pPr>
      <w:r w:rsidRPr="005A77FA">
        <w:t xml:space="preserve">Purpose </w:t>
      </w:r>
    </w:p>
    <w:p w:rsidR="00893EDD" w:rsidRPr="006D6371" w:rsidRDefault="00893EDD" w:rsidP="004848FB">
      <w:pPr>
        <w:pStyle w:val="Reportbodytext"/>
        <w:numPr>
          <w:ilvl w:val="0"/>
          <w:numId w:val="60"/>
        </w:numPr>
        <w:spacing w:line="276" w:lineRule="auto"/>
        <w:rPr>
          <w:sz w:val="20"/>
          <w:szCs w:val="20"/>
        </w:rPr>
      </w:pPr>
      <w:r w:rsidRPr="006D6371">
        <w:rPr>
          <w:sz w:val="20"/>
          <w:szCs w:val="20"/>
        </w:rPr>
        <w:t>The purpose of the Tourism zone code is to provide for tourist localities or</w:t>
      </w:r>
      <w:r>
        <w:rPr>
          <w:sz w:val="20"/>
          <w:szCs w:val="20"/>
        </w:rPr>
        <w:t xml:space="preserve"> </w:t>
      </w:r>
      <w:r w:rsidRPr="006D6371">
        <w:rPr>
          <w:sz w:val="20"/>
          <w:szCs w:val="20"/>
        </w:rPr>
        <w:t>facilities located in urban, rural, environmental or coastal areas.</w:t>
      </w:r>
    </w:p>
    <w:p w:rsidR="00893EDD" w:rsidRDefault="00893EDD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893EDD" w:rsidRPr="005E583D" w:rsidRDefault="00893EDD" w:rsidP="004848FB">
      <w:pPr>
        <w:pStyle w:val="Reportbodytext"/>
        <w:numPr>
          <w:ilvl w:val="0"/>
          <w:numId w:val="60"/>
        </w:numPr>
        <w:spacing w:line="276" w:lineRule="auto"/>
        <w:rPr>
          <w:sz w:val="20"/>
          <w:szCs w:val="20"/>
        </w:rPr>
      </w:pPr>
      <w:r w:rsidRPr="00153CF6">
        <w:rPr>
          <w:sz w:val="20"/>
          <w:szCs w:val="20"/>
        </w:rPr>
        <w:t xml:space="preserve">The local government purpose of the code is to </w:t>
      </w:r>
      <w:r w:rsidRPr="00AC21FD">
        <w:rPr>
          <w:sz w:val="20"/>
          <w:szCs w:val="20"/>
        </w:rPr>
        <w:t>provide for the continued operation of existing tourist attractions and facilities</w:t>
      </w:r>
      <w:r w:rsidR="00A725BD">
        <w:rPr>
          <w:sz w:val="20"/>
          <w:szCs w:val="20"/>
        </w:rPr>
        <w:t>. N</w:t>
      </w:r>
      <w:r>
        <w:rPr>
          <w:sz w:val="20"/>
          <w:szCs w:val="20"/>
        </w:rPr>
        <w:t xml:space="preserve">ew or expanding tourism development </w:t>
      </w:r>
      <w:r w:rsidRPr="005E583D">
        <w:rPr>
          <w:sz w:val="20"/>
          <w:szCs w:val="20"/>
        </w:rPr>
        <w:t xml:space="preserve">makes a positive contribution to </w:t>
      </w:r>
      <w:r w:rsidR="00A725BD">
        <w:rPr>
          <w:sz w:val="20"/>
          <w:szCs w:val="20"/>
        </w:rPr>
        <w:t xml:space="preserve">the </w:t>
      </w:r>
      <w:r w:rsidRPr="005E583D">
        <w:rPr>
          <w:sz w:val="20"/>
          <w:szCs w:val="20"/>
        </w:rPr>
        <w:t>region</w:t>
      </w:r>
      <w:r>
        <w:rPr>
          <w:sz w:val="20"/>
          <w:szCs w:val="20"/>
        </w:rPr>
        <w:t>.</w:t>
      </w:r>
    </w:p>
    <w:p w:rsidR="00893EDD" w:rsidRPr="00A7258A" w:rsidRDefault="00893EDD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893EDD" w:rsidRPr="009929ED" w:rsidRDefault="00893EDD" w:rsidP="004848FB">
      <w:pPr>
        <w:numPr>
          <w:ilvl w:val="0"/>
          <w:numId w:val="60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>The purpose of the code will be achieved through</w:t>
      </w:r>
      <w:r>
        <w:rPr>
          <w:rFonts w:cs="Arial"/>
          <w:szCs w:val="20"/>
        </w:rPr>
        <w:t xml:space="preserve"> the following overall outcomes:</w:t>
      </w:r>
    </w:p>
    <w:p w:rsidR="00893EDD" w:rsidRPr="009929ED" w:rsidRDefault="00CF36CC" w:rsidP="004848FB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</w:t>
      </w:r>
      <w:r w:rsidR="00893EDD" w:rsidRPr="009929ED">
        <w:rPr>
          <w:rFonts w:ascii="Arial" w:hAnsi="Arial" w:cs="Arial"/>
          <w:szCs w:val="20"/>
          <w:lang w:eastAsia="en-US"/>
        </w:rPr>
        <w:t xml:space="preserve">evelopment provides for </w:t>
      </w:r>
      <w:r w:rsidR="00893EDD" w:rsidRPr="00D707BB">
        <w:rPr>
          <w:rFonts w:ascii="Arial" w:hAnsi="Arial" w:cs="Arial"/>
          <w:szCs w:val="20"/>
          <w:lang w:eastAsia="en-US"/>
        </w:rPr>
        <w:t>the continued operation of existing tourist attractions</w:t>
      </w:r>
      <w:r w:rsidR="00893EDD" w:rsidRPr="009929ED">
        <w:rPr>
          <w:rFonts w:ascii="Arial" w:hAnsi="Arial" w:cs="Arial"/>
          <w:szCs w:val="20"/>
          <w:lang w:eastAsia="en-US"/>
        </w:rPr>
        <w:t xml:space="preserve"> and a range </w:t>
      </w:r>
      <w:r w:rsidR="00893EDD" w:rsidRPr="00D707BB">
        <w:rPr>
          <w:rFonts w:ascii="Arial" w:hAnsi="Arial" w:cs="Arial"/>
          <w:szCs w:val="20"/>
          <w:lang w:eastAsia="en-US"/>
        </w:rPr>
        <w:t>of other activities that are ancillary</w:t>
      </w:r>
      <w:r w:rsidR="00893EDD" w:rsidRPr="009929ED">
        <w:rPr>
          <w:rFonts w:ascii="Arial" w:hAnsi="Arial" w:cs="Arial"/>
          <w:szCs w:val="20"/>
          <w:lang w:eastAsia="en-US"/>
        </w:rPr>
        <w:t xml:space="preserve"> to and </w:t>
      </w:r>
      <w:r w:rsidR="00893EDD" w:rsidRPr="00D707BB">
        <w:rPr>
          <w:rFonts w:ascii="Arial" w:hAnsi="Arial" w:cs="Arial"/>
          <w:szCs w:val="20"/>
          <w:lang w:eastAsia="en-US"/>
        </w:rPr>
        <w:t>support</w:t>
      </w:r>
      <w:r w:rsidR="00893EDD" w:rsidRPr="009929ED">
        <w:rPr>
          <w:rFonts w:ascii="Arial" w:hAnsi="Arial" w:cs="Arial"/>
          <w:szCs w:val="20"/>
          <w:lang w:eastAsia="en-US"/>
        </w:rPr>
        <w:t xml:space="preserve"> tourist attractions; </w:t>
      </w:r>
    </w:p>
    <w:p w:rsidR="00893EDD" w:rsidRPr="00D707BB" w:rsidRDefault="00CF36CC" w:rsidP="004848FB">
      <w:pPr>
        <w:pStyle w:val="ListParagraph"/>
        <w:widowControl w:val="0"/>
        <w:numPr>
          <w:ilvl w:val="1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</w:t>
      </w:r>
      <w:r w:rsidR="00893EDD" w:rsidRPr="00D707BB">
        <w:rPr>
          <w:rFonts w:ascii="Arial" w:hAnsi="Arial" w:cs="Arial"/>
          <w:szCs w:val="20"/>
          <w:lang w:eastAsia="en-US"/>
        </w:rPr>
        <w:t>ccommodation activities are provided at an appropriate scale and integrate with and enhance existing tourist attractions;</w:t>
      </w:r>
    </w:p>
    <w:p w:rsidR="00893EDD" w:rsidRPr="00D707BB" w:rsidRDefault="00CF36CC" w:rsidP="004848FB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</w:t>
      </w:r>
      <w:r w:rsidR="00893EDD" w:rsidRPr="00D707BB">
        <w:rPr>
          <w:rFonts w:ascii="Arial" w:hAnsi="Arial" w:cs="Arial"/>
          <w:szCs w:val="20"/>
          <w:lang w:eastAsia="en-US"/>
        </w:rPr>
        <w:t>evelopment enhances and protects the unique local, scenic, cultural and historic character of the locality</w:t>
      </w:r>
      <w:r w:rsidR="00042202">
        <w:rPr>
          <w:rFonts w:ascii="Arial" w:hAnsi="Arial" w:cs="Arial"/>
          <w:szCs w:val="20"/>
          <w:lang w:eastAsia="en-US"/>
        </w:rPr>
        <w:t>;</w:t>
      </w:r>
    </w:p>
    <w:p w:rsidR="00893EDD" w:rsidRPr="00D707BB" w:rsidRDefault="00CF36CC" w:rsidP="004848FB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</w:t>
      </w:r>
      <w:r w:rsidR="00893EDD" w:rsidRPr="00D707BB">
        <w:rPr>
          <w:rFonts w:ascii="Arial" w:hAnsi="Arial" w:cs="Arial"/>
          <w:szCs w:val="20"/>
          <w:lang w:eastAsia="en-US"/>
        </w:rPr>
        <w:t>evelopment provides a high level of amenity, incorporating tropical architectural elements and building design features;</w:t>
      </w:r>
    </w:p>
    <w:p w:rsidR="00893EDD" w:rsidRPr="00D707BB" w:rsidRDefault="00CF36CC" w:rsidP="004848FB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</w:t>
      </w:r>
      <w:r w:rsidR="00893EDD" w:rsidRPr="00D707BB">
        <w:rPr>
          <w:rFonts w:ascii="Arial" w:hAnsi="Arial" w:cs="Arial"/>
          <w:szCs w:val="20"/>
          <w:lang w:eastAsia="en-US"/>
        </w:rPr>
        <w:t>evelopment reflects and responds to the natural features and constraints of the land;</w:t>
      </w:r>
    </w:p>
    <w:p w:rsidR="00893EDD" w:rsidRPr="00D707BB" w:rsidRDefault="00CF36CC" w:rsidP="004848FB">
      <w:pPr>
        <w:widowControl w:val="0"/>
        <w:numPr>
          <w:ilvl w:val="1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</w:t>
      </w:r>
      <w:r w:rsidR="00893EDD" w:rsidRPr="00D707BB">
        <w:rPr>
          <w:rFonts w:ascii="Arial" w:hAnsi="Arial" w:cs="Arial"/>
          <w:szCs w:val="20"/>
          <w:lang w:eastAsia="en-US"/>
        </w:rPr>
        <w:t>evelopment minimises impacts such as traffic, noise, dust, odour, and lighting</w:t>
      </w:r>
      <w:r w:rsidR="00893EDD">
        <w:rPr>
          <w:rFonts w:ascii="Arial" w:hAnsi="Arial" w:cs="Arial"/>
          <w:szCs w:val="20"/>
          <w:lang w:eastAsia="en-US"/>
        </w:rPr>
        <w:t>.</w:t>
      </w:r>
      <w:r w:rsidR="00893EDD" w:rsidRPr="00D707BB">
        <w:rPr>
          <w:rFonts w:ascii="Arial" w:hAnsi="Arial" w:cs="Arial"/>
          <w:szCs w:val="20"/>
          <w:lang w:eastAsia="en-US"/>
        </w:rPr>
        <w:t xml:space="preserve"> </w:t>
      </w:r>
    </w:p>
    <w:p w:rsidR="00893EDD" w:rsidRPr="005A77FA" w:rsidRDefault="00893EDD" w:rsidP="00893EDD">
      <w:pPr>
        <w:pStyle w:val="Heading4"/>
      </w:pPr>
      <w:bookmarkStart w:id="0" w:name="_Ref437524241"/>
      <w:r>
        <w:t>Criteria for a</w:t>
      </w:r>
      <w:r w:rsidRPr="005A77FA">
        <w:t>ssessment</w:t>
      </w:r>
      <w:bookmarkEnd w:id="0"/>
      <w:r w:rsidRPr="005A77FA">
        <w:t xml:space="preserve"> </w:t>
      </w:r>
      <w:bookmarkStart w:id="1" w:name="_GoBack"/>
      <w:bookmarkEnd w:id="1"/>
    </w:p>
    <w:p w:rsidR="00893EDD" w:rsidRPr="00BF128E" w:rsidRDefault="00893EDD" w:rsidP="00893EDD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assessable development</w:t>
      </w:r>
    </w:p>
    <w:p w:rsidR="00893EDD" w:rsidRPr="005A77FA" w:rsidRDefault="00893EDD" w:rsidP="00893EDD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893EDD" w:rsidRPr="005A77FA" w:rsidRDefault="00893EDD" w:rsidP="00893EDD">
      <w:pPr>
        <w:pStyle w:val="Caption"/>
      </w:pPr>
      <w:r>
        <w:t xml:space="preserve">Table </w:t>
      </w:r>
      <w:r w:rsidR="0034026D">
        <w:fldChar w:fldCharType="begin"/>
      </w:r>
      <w:r w:rsidR="0034026D">
        <w:instrText xml:space="preserve"> REF _Ref437524241 \r \h </w:instrText>
      </w:r>
      <w:r w:rsidR="0034026D">
        <w:fldChar w:fldCharType="separate"/>
      </w:r>
      <w:r w:rsidR="00CF44F9">
        <w:t>6.2.23.3</w:t>
      </w:r>
      <w:r w:rsidR="0034026D">
        <w:fldChar w:fldCharType="end"/>
      </w:r>
      <w:r>
        <w:t>.a</w:t>
      </w:r>
      <w:r w:rsidRPr="005A77FA">
        <w:t xml:space="preserve"> </w:t>
      </w:r>
      <w:r>
        <w:t xml:space="preserve">– Tourism zone </w:t>
      </w:r>
      <w:r w:rsidR="0072131B">
        <w:t xml:space="preserve">code </w:t>
      </w:r>
      <w:r>
        <w:t>–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5E55B3" w:rsidRPr="005A77FA" w:rsidTr="005E5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E55B3" w:rsidRPr="005A77FA" w:rsidRDefault="005E55B3" w:rsidP="000327EA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E55B3" w:rsidRPr="005A77FA" w:rsidRDefault="005E55B3" w:rsidP="00032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E55B3" w:rsidRPr="005A77FA" w:rsidRDefault="005E55B3" w:rsidP="000327EA">
            <w:r>
              <w:t>Applicant response</w:t>
            </w:r>
          </w:p>
        </w:tc>
      </w:tr>
      <w:tr w:rsidR="005E55B3" w:rsidTr="005E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E55B3" w:rsidRDefault="005E55B3" w:rsidP="000327E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For assessable development </w:t>
            </w:r>
          </w:p>
        </w:tc>
      </w:tr>
      <w:tr w:rsidR="005E55B3" w:rsidRPr="002C79EE" w:rsidTr="005E55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E55B3" w:rsidRDefault="005E55B3" w:rsidP="000327EA">
            <w:pPr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5E55B3" w:rsidRPr="005A77FA" w:rsidTr="005E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E55B3" w:rsidRDefault="005E55B3" w:rsidP="000327E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PO1</w:t>
            </w:r>
          </w:p>
          <w:p w:rsidR="005E55B3" w:rsidRDefault="005E55B3" w:rsidP="000327E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height of buildings and structures is compatible with the character and amenity of the area.</w:t>
            </w:r>
          </w:p>
          <w:p w:rsidR="005E55B3" w:rsidRDefault="005E55B3" w:rsidP="000327EA">
            <w:pPr>
              <w:rPr>
                <w:rFonts w:ascii="Arial" w:hAnsi="Arial" w:cs="Arial"/>
                <w:szCs w:val="20"/>
              </w:rPr>
            </w:pPr>
          </w:p>
          <w:p w:rsidR="005E55B3" w:rsidRDefault="005E55B3" w:rsidP="003C3BF6">
            <w:pPr>
              <w:rPr>
                <w:rFonts w:cs="Arial"/>
                <w:b/>
                <w:szCs w:val="20"/>
              </w:rPr>
            </w:pPr>
            <w:r w:rsidRPr="00933F75">
              <w:rPr>
                <w:sz w:val="16"/>
                <w:szCs w:val="16"/>
              </w:rPr>
              <w:lastRenderedPageBreak/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to demonstrate compliance with the performance outcome.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</w:tc>
        <w:tc>
          <w:tcPr>
            <w:tcW w:w="1667" w:type="pct"/>
          </w:tcPr>
          <w:p w:rsidR="005E55B3" w:rsidRPr="00536057" w:rsidRDefault="005E55B3" w:rsidP="0003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1.1</w:t>
            </w:r>
          </w:p>
          <w:p w:rsidR="005E55B3" w:rsidRDefault="005E55B3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E55B3" w:rsidRPr="00536057" w:rsidRDefault="005E55B3" w:rsidP="000327EA">
            <w:pPr>
              <w:rPr>
                <w:rFonts w:cs="Arial"/>
                <w:b/>
                <w:szCs w:val="20"/>
              </w:rPr>
            </w:pPr>
          </w:p>
        </w:tc>
      </w:tr>
      <w:tr w:rsidR="005E55B3" w:rsidRPr="005A77FA" w:rsidTr="005E55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E55B3" w:rsidRDefault="005E55B3" w:rsidP="000327EA">
            <w:pPr>
              <w:rPr>
                <w:rStyle w:val="Strong"/>
              </w:rPr>
            </w:pPr>
            <w:r>
              <w:rPr>
                <w:rStyle w:val="Strong"/>
              </w:rPr>
              <w:t xml:space="preserve">Uses and other development </w:t>
            </w:r>
          </w:p>
        </w:tc>
      </w:tr>
      <w:tr w:rsidR="005E55B3" w:rsidRPr="005A77FA" w:rsidTr="005E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E55B3" w:rsidRDefault="005E55B3" w:rsidP="000327E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PO2</w:t>
            </w:r>
          </w:p>
          <w:p w:rsidR="005E55B3" w:rsidRPr="004A557A" w:rsidRDefault="005E55B3" w:rsidP="000327EA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5E55B3" w:rsidRDefault="005E55B3" w:rsidP="0003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AO2.1</w:t>
            </w:r>
          </w:p>
          <w:p w:rsidR="005E55B3" w:rsidRPr="004A557A" w:rsidRDefault="005E55B3" w:rsidP="0094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E55B3" w:rsidRDefault="005E55B3" w:rsidP="000327EA">
            <w:pPr>
              <w:rPr>
                <w:rFonts w:cs="Arial"/>
                <w:b/>
                <w:szCs w:val="20"/>
              </w:rPr>
            </w:pPr>
          </w:p>
        </w:tc>
      </w:tr>
      <w:tr w:rsidR="005E55B3" w:rsidTr="005E55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E55B3" w:rsidRDefault="005E55B3" w:rsidP="000327EA">
            <w:pPr>
              <w:rPr>
                <w:rStyle w:val="Strong"/>
              </w:rPr>
            </w:pPr>
            <w:r>
              <w:rPr>
                <w:rStyle w:val="Strong"/>
              </w:rPr>
              <w:t xml:space="preserve">Setbacks </w:t>
            </w:r>
          </w:p>
        </w:tc>
      </w:tr>
      <w:tr w:rsidR="005E55B3" w:rsidRPr="005A77FA" w:rsidTr="005E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E55B3" w:rsidRPr="0014161D" w:rsidRDefault="005E55B3" w:rsidP="000327EA">
            <w:pPr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5E55B3" w:rsidRPr="00536057" w:rsidRDefault="005E55B3" w:rsidP="000327EA">
            <w:pPr>
              <w:rPr>
                <w:rFonts w:cs="Arial"/>
                <w:szCs w:val="20"/>
              </w:rPr>
            </w:pPr>
            <w:r w:rsidRPr="00536057">
              <w:rPr>
                <w:rFonts w:cs="Arial"/>
                <w:szCs w:val="20"/>
              </w:rPr>
              <w:t>Buildings and structures are set back to:</w:t>
            </w:r>
          </w:p>
          <w:p w:rsidR="005E55B3" w:rsidRPr="00536057" w:rsidRDefault="005E55B3" w:rsidP="00787D38">
            <w:pPr>
              <w:ind w:left="426" w:hanging="39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536057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)</w:t>
            </w:r>
            <w:r w:rsidRPr="00536057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establish a high standard of amenity;</w:t>
            </w:r>
            <w:r w:rsidRPr="00536057">
              <w:rPr>
                <w:rFonts w:cs="Arial"/>
                <w:szCs w:val="20"/>
              </w:rPr>
              <w:t xml:space="preserve"> </w:t>
            </w:r>
          </w:p>
          <w:p w:rsidR="005E55B3" w:rsidRPr="00B77D93" w:rsidRDefault="005E55B3" w:rsidP="00787D38">
            <w:pPr>
              <w:ind w:left="426" w:hanging="392"/>
              <w:rPr>
                <w:rFonts w:eastAsiaTheme="minorEastAsia"/>
                <w:lang w:eastAsia="en-AU"/>
              </w:rPr>
            </w:pPr>
            <w:r>
              <w:rPr>
                <w:rFonts w:cs="Arial"/>
                <w:szCs w:val="20"/>
              </w:rPr>
              <w:t>(</w:t>
            </w:r>
            <w:r w:rsidRPr="00536057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)</w:t>
            </w:r>
            <w:r w:rsidRPr="00536057">
              <w:rPr>
                <w:rFonts w:cs="Arial"/>
                <w:szCs w:val="20"/>
              </w:rPr>
              <w:tab/>
              <w:t>a</w:t>
            </w:r>
            <w:r w:rsidRPr="00F97561">
              <w:t xml:space="preserve">chieve separation from </w:t>
            </w:r>
            <w:r>
              <w:t>adjoining premises.</w:t>
            </w:r>
          </w:p>
        </w:tc>
        <w:tc>
          <w:tcPr>
            <w:tcW w:w="1667" w:type="pct"/>
          </w:tcPr>
          <w:p w:rsidR="005E55B3" w:rsidRPr="0014161D" w:rsidRDefault="005E55B3" w:rsidP="0003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5E55B3" w:rsidRPr="0014161D" w:rsidRDefault="005E55B3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36057">
              <w:rPr>
                <w:rFonts w:cs="Arial"/>
                <w:szCs w:val="20"/>
              </w:rPr>
              <w:t xml:space="preserve">No acceptable outcomes </w:t>
            </w:r>
            <w:r>
              <w:rPr>
                <w:rFonts w:cs="Arial"/>
                <w:szCs w:val="20"/>
              </w:rPr>
              <w:t>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E55B3" w:rsidRPr="00536057" w:rsidRDefault="005E55B3" w:rsidP="000327EA">
            <w:pPr>
              <w:rPr>
                <w:rFonts w:cs="Arial"/>
                <w:b/>
                <w:szCs w:val="20"/>
              </w:rPr>
            </w:pPr>
          </w:p>
        </w:tc>
      </w:tr>
      <w:tr w:rsidR="005E55B3" w:rsidTr="005E55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E55B3" w:rsidRDefault="005E55B3" w:rsidP="00D512A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Site constraints</w:t>
            </w:r>
          </w:p>
        </w:tc>
      </w:tr>
      <w:tr w:rsidR="005E55B3" w:rsidRPr="005A77FA" w:rsidTr="005E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E55B3" w:rsidRPr="00D707BB" w:rsidRDefault="005E55B3" w:rsidP="00D512A4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536057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5E55B3" w:rsidRPr="00666E8C" w:rsidRDefault="005E55B3" w:rsidP="00D512A4">
            <w:pPr>
              <w:keepNext/>
              <w:rPr>
                <w:rFonts w:eastAsiaTheme="minorEastAsia"/>
                <w:lang w:eastAsia="en-AU"/>
              </w:rPr>
            </w:pPr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5E55B3" w:rsidRPr="00666E8C" w:rsidRDefault="005E55B3" w:rsidP="00D512A4">
            <w:pPr>
              <w:keepNext/>
              <w:rPr>
                <w:rFonts w:eastAsiaTheme="minorEastAsia"/>
                <w:lang w:eastAsia="en-AU"/>
              </w:rPr>
            </w:pPr>
          </w:p>
          <w:p w:rsidR="005E55B3" w:rsidRPr="00536057" w:rsidRDefault="005E55B3" w:rsidP="003C3BF6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 xml:space="preserve">Note – </w:t>
            </w:r>
            <w:r w:rsidRPr="00666E8C">
              <w:rPr>
                <w:sz w:val="16"/>
                <w:szCs w:val="16"/>
              </w:rPr>
              <w:t>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constraints of a site and its surrounds.</w:t>
            </w:r>
          </w:p>
        </w:tc>
        <w:tc>
          <w:tcPr>
            <w:tcW w:w="1667" w:type="pct"/>
          </w:tcPr>
          <w:p w:rsidR="005E55B3" w:rsidRPr="00536057" w:rsidRDefault="005E55B3" w:rsidP="00D512A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36057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5E55B3" w:rsidRPr="0014161D" w:rsidRDefault="005E55B3" w:rsidP="00D512A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E55B3" w:rsidRPr="00536057" w:rsidRDefault="005E55B3" w:rsidP="00D512A4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5E55B3" w:rsidTr="005E55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E55B3" w:rsidRDefault="005E55B3" w:rsidP="000327EA">
            <w:pPr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5E55B3" w:rsidRPr="005A77FA" w:rsidTr="005E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E55B3" w:rsidRPr="005A3A6F" w:rsidRDefault="005E55B3" w:rsidP="000327EA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5E55B3" w:rsidRPr="00D707BB" w:rsidRDefault="005E55B3" w:rsidP="000327EA">
            <w:pPr>
              <w:rPr>
                <w:rFonts w:cs="Arial"/>
                <w:szCs w:val="20"/>
              </w:rPr>
            </w:pPr>
            <w:r w:rsidRPr="0009716C">
              <w:rPr>
                <w:rFonts w:cs="Arial"/>
                <w:szCs w:val="20"/>
              </w:rPr>
              <w:t>Development does not adve</w:t>
            </w:r>
            <w:r>
              <w:rPr>
                <w:rFonts w:cs="Arial"/>
                <w:szCs w:val="20"/>
              </w:rPr>
              <w:t xml:space="preserve">rsely affect the character and amenity of the area and adjoining areas in terms of </w:t>
            </w:r>
            <w:r w:rsidRPr="00B07F73">
              <w:rPr>
                <w:rFonts w:cs="Arial"/>
                <w:szCs w:val="20"/>
              </w:rPr>
              <w:t>traffic, noise, dus</w:t>
            </w:r>
            <w:r>
              <w:rPr>
                <w:rFonts w:cs="Arial"/>
                <w:szCs w:val="20"/>
              </w:rPr>
              <w:t xml:space="preserve">t, odour, lighting or </w:t>
            </w:r>
            <w:r w:rsidRPr="00B07F73">
              <w:rPr>
                <w:rFonts w:cs="Arial"/>
                <w:szCs w:val="20"/>
              </w:rPr>
              <w:t xml:space="preserve">other </w:t>
            </w:r>
            <w:r>
              <w:rPr>
                <w:rFonts w:cs="Arial"/>
                <w:szCs w:val="20"/>
              </w:rPr>
              <w:t xml:space="preserve">physical or environmental </w:t>
            </w:r>
            <w:r w:rsidRPr="00B07F73">
              <w:rPr>
                <w:rFonts w:cs="Arial"/>
                <w:szCs w:val="20"/>
              </w:rPr>
              <w:t>impacts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5E55B3" w:rsidRPr="005A3A6F" w:rsidRDefault="005E55B3" w:rsidP="00032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5E55B3" w:rsidRPr="0009716C" w:rsidRDefault="005E55B3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20"/>
                <w:highlight w:val="lightGray"/>
                <w:lang w:eastAsia="en-AU"/>
              </w:rPr>
            </w:pPr>
            <w:r>
              <w:t xml:space="preserve">No acceptable outcomes are </w:t>
            </w:r>
            <w:r>
              <w:rPr>
                <w:szCs w:val="20"/>
              </w:rPr>
              <w:t>provided</w:t>
            </w:r>
            <w:r w:rsidRPr="00A91E80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E55B3" w:rsidRPr="005A3A6F" w:rsidRDefault="005E55B3" w:rsidP="000327EA">
            <w:pPr>
              <w:rPr>
                <w:rFonts w:cs="Arial"/>
                <w:b/>
                <w:szCs w:val="20"/>
              </w:rPr>
            </w:pPr>
          </w:p>
        </w:tc>
      </w:tr>
    </w:tbl>
    <w:p w:rsidR="00893EDD" w:rsidRDefault="00893EDD" w:rsidP="00893EDD">
      <w:pPr>
        <w:pStyle w:val="Caption"/>
      </w:pPr>
    </w:p>
    <w:p w:rsidR="006C39A0" w:rsidRDefault="006C39A0">
      <w:pPr>
        <w:rPr>
          <w:rFonts w:asciiTheme="majorHAnsi" w:eastAsiaTheme="majorEastAsia" w:hAnsiTheme="majorHAnsi" w:cstheme="majorBidi"/>
          <w:color w:val="000000" w:themeColor="text1"/>
          <w:sz w:val="24"/>
        </w:rPr>
      </w:pPr>
    </w:p>
    <w:sectPr w:rsidR="006C39A0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4B" w:rsidRDefault="0054424B">
      <w:pPr>
        <w:spacing w:after="0" w:line="240" w:lineRule="auto"/>
      </w:pPr>
      <w:r>
        <w:separator/>
      </w:r>
    </w:p>
  </w:endnote>
  <w:endnote w:type="continuationSeparator" w:id="0">
    <w:p w:rsidR="0054424B" w:rsidRDefault="0054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60E2D9D4" wp14:editId="79CB72A7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0CFA6C4E" wp14:editId="7E199492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8267A5" w:rsidRDefault="00107CB9" w:rsidP="008267A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5E55B3" w:rsidRPr="005E55B3">
              <w:rPr>
                <w:color w:val="0064A7"/>
                <w:sz w:val="16"/>
                <w:szCs w:val="16"/>
              </w:rPr>
              <w:t>6.2.23</w:t>
            </w:r>
            <w:r w:rsidR="005E55B3" w:rsidRPr="005E55B3">
              <w:rPr>
                <w:color w:val="0064A7"/>
                <w:sz w:val="16"/>
                <w:szCs w:val="16"/>
              </w:rPr>
              <w:tab/>
            </w:r>
            <w:r w:rsidR="005E55B3">
              <w:rPr>
                <w:color w:val="0064A7"/>
                <w:sz w:val="16"/>
                <w:szCs w:val="16"/>
              </w:rPr>
              <w:t xml:space="preserve"> </w:t>
            </w:r>
            <w:r w:rsidR="005E55B3" w:rsidRPr="005E55B3">
              <w:rPr>
                <w:color w:val="0064A7"/>
                <w:sz w:val="16"/>
                <w:szCs w:val="16"/>
              </w:rPr>
              <w:t>Tourism zone code</w:t>
            </w:r>
            <w:r>
              <w:rPr>
                <w:color w:val="0064A7"/>
                <w:sz w:val="16"/>
                <w:szCs w:val="16"/>
              </w:rPr>
              <w:t xml:space="preserve">    </w:t>
            </w:r>
            <w:r w:rsidR="005E55B3">
              <w:rPr>
                <w:color w:val="0064A7"/>
                <w:sz w:val="16"/>
                <w:szCs w:val="16"/>
              </w:rPr>
              <w:t xml:space="preserve">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6F4789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="008267A5">
              <w:rPr>
                <w:color w:val="0064A7"/>
                <w:sz w:val="16"/>
                <w:szCs w:val="16"/>
              </w:rPr>
              <w:t xml:space="preserve">    </w:t>
            </w:r>
            <w:r w:rsidR="00F71407">
              <w:rPr>
                <w:color w:val="0064A7"/>
                <w:sz w:val="16"/>
                <w:szCs w:val="16"/>
              </w:rPr>
              <w:t xml:space="preserve"> </w:t>
            </w:r>
            <w:r w:rsidR="008267A5">
              <w:rPr>
                <w:color w:val="0064A7"/>
                <w:sz w:val="16"/>
                <w:szCs w:val="16"/>
              </w:rPr>
              <w:t>CairnsPlan 2016 Version 2.</w:t>
            </w:r>
            <w:r w:rsidR="0034695F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8267A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34695F">
              <w:rPr>
                <w:noProof/>
                <w:color w:val="0064A7"/>
                <w:sz w:val="16"/>
                <w:szCs w:val="16"/>
              </w:rPr>
              <w:t>2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34695F">
              <w:rPr>
                <w:noProof/>
                <w:color w:val="0064A7"/>
                <w:sz w:val="16"/>
                <w:szCs w:val="16"/>
              </w:rPr>
              <w:t>2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4B" w:rsidRDefault="0054424B">
      <w:pPr>
        <w:spacing w:after="0" w:line="240" w:lineRule="auto"/>
      </w:pPr>
      <w:r>
        <w:separator/>
      </w:r>
    </w:p>
  </w:footnote>
  <w:footnote w:type="continuationSeparator" w:id="0">
    <w:p w:rsidR="0054424B" w:rsidRDefault="0054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5886AA9D" wp14:editId="414C348F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23891E87" wp14:editId="5E64ECF2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569AC55A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6EF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695F"/>
    <w:rsid w:val="0034760D"/>
    <w:rsid w:val="0034770B"/>
    <w:rsid w:val="00353092"/>
    <w:rsid w:val="00356D9E"/>
    <w:rsid w:val="00363846"/>
    <w:rsid w:val="00365DDE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424B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5B3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4789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267A5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71407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5D52E5"/>
  <w15:docId w15:val="{5D31CFDF-80B6-44F4-8891-EF98A88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00D780-67FC-4CB7-BEAD-156A89B8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2016-02-26T05:30:00Z</dcterms:created>
  <dcterms:modified xsi:type="dcterms:W3CDTF">2019-10-31T23:09:00Z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