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B1" w:rsidRPr="005A77FA" w:rsidRDefault="008F0FB1" w:rsidP="00A23254">
      <w:pPr>
        <w:pStyle w:val="Heading3"/>
        <w:numPr>
          <w:ilvl w:val="2"/>
          <w:numId w:val="65"/>
        </w:numPr>
      </w:pPr>
      <w:r>
        <w:t>Waterfront and marine industry zone</w:t>
      </w:r>
      <w:r w:rsidR="0039551F">
        <w:t xml:space="preserve"> code</w:t>
      </w:r>
    </w:p>
    <w:p w:rsidR="008F0FB1" w:rsidRPr="005A77FA" w:rsidRDefault="008F0FB1" w:rsidP="008F0FB1">
      <w:pPr>
        <w:pStyle w:val="Heading4"/>
      </w:pPr>
      <w:r w:rsidRPr="005A77FA">
        <w:t>Application</w:t>
      </w:r>
    </w:p>
    <w:p w:rsidR="008F0FB1" w:rsidRPr="004848FB" w:rsidRDefault="008F0FB1" w:rsidP="004848FB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Arial"/>
          <w:szCs w:val="20"/>
        </w:rPr>
      </w:pPr>
      <w:r w:rsidRPr="005A77FA">
        <w:rPr>
          <w:rFonts w:ascii="Arial" w:eastAsia="Times New Roman" w:hAnsi="Arial" w:cs="Arial"/>
          <w:szCs w:val="20"/>
        </w:rPr>
        <w:t>This code applie</w:t>
      </w:r>
      <w:r>
        <w:rPr>
          <w:rFonts w:ascii="Arial" w:eastAsia="Times New Roman" w:hAnsi="Arial" w:cs="Arial"/>
          <w:szCs w:val="20"/>
        </w:rPr>
        <w:t xml:space="preserve">s to assessing development in the </w:t>
      </w:r>
      <w:r w:rsidR="00AA25C7">
        <w:rPr>
          <w:rFonts w:ascii="Arial" w:eastAsia="Times New Roman" w:hAnsi="Arial" w:cs="Arial"/>
          <w:szCs w:val="20"/>
        </w:rPr>
        <w:t xml:space="preserve">Waterfront </w:t>
      </w:r>
      <w:r>
        <w:rPr>
          <w:rFonts w:ascii="Arial" w:eastAsia="Times New Roman" w:hAnsi="Arial" w:cs="Arial"/>
          <w:szCs w:val="20"/>
        </w:rPr>
        <w:t>and marine industry zone</w:t>
      </w:r>
      <w:r w:rsidRPr="005A77FA">
        <w:rPr>
          <w:rFonts w:ascii="Arial" w:eastAsia="Times New Roman" w:hAnsi="Arial" w:cs="Arial"/>
          <w:szCs w:val="20"/>
        </w:rPr>
        <w:t>.</w:t>
      </w:r>
    </w:p>
    <w:p w:rsidR="008F0FB1" w:rsidRPr="005A77FA" w:rsidRDefault="008F0FB1" w:rsidP="004848FB">
      <w:pPr>
        <w:pStyle w:val="ListParagraph"/>
        <w:spacing w:after="0"/>
        <w:ind w:left="567"/>
        <w:rPr>
          <w:rFonts w:ascii="Arial" w:eastAsia="Times New Roman" w:hAnsi="Arial" w:cs="Arial"/>
          <w:szCs w:val="20"/>
        </w:rPr>
      </w:pPr>
    </w:p>
    <w:p w:rsidR="008F0FB1" w:rsidRPr="005A77FA" w:rsidRDefault="008F0FB1" w:rsidP="004848FB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Arial"/>
          <w:szCs w:val="20"/>
        </w:rPr>
      </w:pPr>
      <w:r w:rsidRPr="005A77FA">
        <w:rPr>
          <w:rFonts w:ascii="Arial" w:eastAsia="Times New Roman" w:hAnsi="Arial" w:cs="Arial"/>
          <w:szCs w:val="20"/>
        </w:rPr>
        <w:t xml:space="preserve">When using this code, reference should be made to </w:t>
      </w:r>
      <w:r>
        <w:rPr>
          <w:rFonts w:ascii="Arial" w:eastAsia="Times New Roman" w:hAnsi="Arial" w:cs="Arial"/>
          <w:szCs w:val="20"/>
        </w:rPr>
        <w:t>Part 5.</w:t>
      </w:r>
    </w:p>
    <w:p w:rsidR="008F0FB1" w:rsidRDefault="008F0FB1" w:rsidP="008F0FB1">
      <w:pPr>
        <w:pStyle w:val="Heading4"/>
      </w:pPr>
      <w:r w:rsidRPr="005A77FA">
        <w:t xml:space="preserve">Purpose </w:t>
      </w:r>
    </w:p>
    <w:p w:rsidR="006E289E" w:rsidRDefault="008F0FB1" w:rsidP="004848FB">
      <w:pPr>
        <w:pStyle w:val="ListParagraph"/>
        <w:numPr>
          <w:ilvl w:val="0"/>
          <w:numId w:val="63"/>
        </w:numPr>
        <w:spacing w:after="0"/>
        <w:rPr>
          <w:rFonts w:ascii="Arial" w:eastAsia="Times New Roman" w:hAnsi="Arial" w:cs="Arial"/>
          <w:szCs w:val="20"/>
        </w:rPr>
      </w:pPr>
      <w:r w:rsidRPr="008F0FB1">
        <w:rPr>
          <w:rFonts w:ascii="Arial" w:eastAsia="Times New Roman" w:hAnsi="Arial" w:cs="Arial"/>
          <w:szCs w:val="20"/>
        </w:rPr>
        <w:t xml:space="preserve">The purpose of the </w:t>
      </w:r>
      <w:r w:rsidR="009151CC">
        <w:rPr>
          <w:rFonts w:ascii="Arial" w:eastAsia="Times New Roman" w:hAnsi="Arial" w:cs="Arial"/>
          <w:szCs w:val="20"/>
        </w:rPr>
        <w:t>W</w:t>
      </w:r>
      <w:r w:rsidRPr="008F0FB1">
        <w:rPr>
          <w:rFonts w:ascii="Arial" w:eastAsia="Times New Roman" w:hAnsi="Arial" w:cs="Arial"/>
          <w:szCs w:val="20"/>
        </w:rPr>
        <w:t xml:space="preserve">aterfront and marine industry zone code is to provide for </w:t>
      </w:r>
      <w:r w:rsidR="006E289E">
        <w:rPr>
          <w:rFonts w:ascii="Arial" w:eastAsia="Times New Roman" w:hAnsi="Arial" w:cs="Arial"/>
          <w:szCs w:val="20"/>
        </w:rPr>
        <w:t>us</w:t>
      </w:r>
      <w:r w:rsidRPr="008F0FB1">
        <w:rPr>
          <w:rFonts w:ascii="Arial" w:eastAsia="Times New Roman" w:hAnsi="Arial" w:cs="Arial"/>
          <w:szCs w:val="20"/>
        </w:rPr>
        <w:t xml:space="preserve">es for which a location adjoining or near the waterfront </w:t>
      </w:r>
      <w:r w:rsidR="006E289E">
        <w:rPr>
          <w:rFonts w:ascii="Arial" w:eastAsia="Times New Roman" w:hAnsi="Arial" w:cs="Arial"/>
          <w:szCs w:val="20"/>
        </w:rPr>
        <w:t xml:space="preserve">or a marine environment </w:t>
      </w:r>
      <w:r w:rsidRPr="008F0FB1">
        <w:rPr>
          <w:rFonts w:ascii="Arial" w:eastAsia="Times New Roman" w:hAnsi="Arial" w:cs="Arial"/>
          <w:szCs w:val="20"/>
        </w:rPr>
        <w:t xml:space="preserve">is essential. </w:t>
      </w:r>
    </w:p>
    <w:p w:rsidR="006E289E" w:rsidRDefault="006E289E" w:rsidP="000646E9">
      <w:pPr>
        <w:spacing w:after="0"/>
        <w:rPr>
          <w:rFonts w:ascii="Arial" w:eastAsia="Times New Roman" w:hAnsi="Arial" w:cs="Arial"/>
          <w:szCs w:val="20"/>
        </w:rPr>
      </w:pPr>
    </w:p>
    <w:p w:rsidR="008F0FB1" w:rsidRPr="00D512A4" w:rsidRDefault="008F0FB1" w:rsidP="000646E9">
      <w:pPr>
        <w:spacing w:after="0"/>
        <w:ind w:left="567"/>
        <w:rPr>
          <w:rFonts w:ascii="Arial" w:eastAsia="Times New Roman" w:hAnsi="Arial" w:cs="Arial"/>
          <w:szCs w:val="20"/>
        </w:rPr>
      </w:pPr>
      <w:r w:rsidRPr="00D512A4">
        <w:rPr>
          <w:rFonts w:ascii="Arial" w:eastAsia="Times New Roman" w:hAnsi="Arial" w:cs="Arial"/>
          <w:szCs w:val="20"/>
        </w:rPr>
        <w:t>It may include non-industrial and business uses that support the industrial activities where they do not compromise the long-term use of the land for industrial purposes.</w:t>
      </w:r>
    </w:p>
    <w:p w:rsidR="008F0FB1" w:rsidRDefault="008F0FB1" w:rsidP="000646E9">
      <w:pPr>
        <w:spacing w:after="0"/>
        <w:ind w:left="851" w:hanging="851"/>
        <w:rPr>
          <w:rFonts w:ascii="Arial" w:eastAsia="Times New Roman" w:hAnsi="Arial" w:cs="Arial"/>
          <w:b/>
          <w:szCs w:val="20"/>
        </w:rPr>
      </w:pPr>
    </w:p>
    <w:p w:rsidR="008F0FB1" w:rsidRPr="008F0FB1" w:rsidRDefault="008F0FB1" w:rsidP="004848FB">
      <w:pPr>
        <w:pStyle w:val="ListParagraph"/>
        <w:numPr>
          <w:ilvl w:val="0"/>
          <w:numId w:val="63"/>
        </w:numPr>
        <w:spacing w:after="0"/>
        <w:rPr>
          <w:rFonts w:ascii="Arial" w:eastAsia="Times New Roman" w:hAnsi="Arial" w:cs="Arial"/>
          <w:b/>
          <w:szCs w:val="20"/>
        </w:rPr>
      </w:pPr>
      <w:r w:rsidRPr="008F0FB1">
        <w:rPr>
          <w:rFonts w:ascii="Arial" w:eastAsia="Times New Roman" w:hAnsi="Arial" w:cs="Arial"/>
          <w:szCs w:val="20"/>
        </w:rPr>
        <w:t xml:space="preserve">The local government purpose of the code is to ensure that land included within this zone is used for marine orientated industries </w:t>
      </w:r>
      <w:r w:rsidR="00AA25C7">
        <w:rPr>
          <w:rFonts w:ascii="Arial" w:eastAsia="Times New Roman" w:hAnsi="Arial" w:cs="Arial"/>
          <w:szCs w:val="20"/>
        </w:rPr>
        <w:t xml:space="preserve">rather than </w:t>
      </w:r>
      <w:r w:rsidRPr="008F0FB1">
        <w:rPr>
          <w:rFonts w:ascii="Arial" w:eastAsia="Times New Roman" w:hAnsi="Arial" w:cs="Arial"/>
          <w:szCs w:val="20"/>
        </w:rPr>
        <w:t>general forms of industry activities or other incompatible land uses.</w:t>
      </w:r>
    </w:p>
    <w:p w:rsidR="008F0FB1" w:rsidRPr="008F0FB1" w:rsidRDefault="008F0FB1" w:rsidP="000646E9">
      <w:pPr>
        <w:spacing w:after="0"/>
        <w:ind w:left="851" w:hanging="851"/>
        <w:rPr>
          <w:rFonts w:ascii="Arial" w:eastAsia="Times New Roman" w:hAnsi="Arial" w:cs="Arial"/>
          <w:szCs w:val="20"/>
        </w:rPr>
      </w:pPr>
    </w:p>
    <w:p w:rsidR="008F0FB1" w:rsidRPr="008F0FB1" w:rsidRDefault="008F0FB1" w:rsidP="004848FB">
      <w:pPr>
        <w:pStyle w:val="ListParagraph"/>
        <w:numPr>
          <w:ilvl w:val="0"/>
          <w:numId w:val="63"/>
        </w:numPr>
        <w:spacing w:after="0"/>
        <w:rPr>
          <w:rFonts w:ascii="Arial" w:eastAsia="Times New Roman" w:hAnsi="Arial" w:cs="Arial"/>
          <w:szCs w:val="20"/>
        </w:rPr>
      </w:pPr>
      <w:r w:rsidRPr="008F0FB1">
        <w:rPr>
          <w:rFonts w:ascii="Arial" w:eastAsia="Times New Roman" w:hAnsi="Arial" w:cs="Arial"/>
          <w:szCs w:val="20"/>
        </w:rPr>
        <w:t xml:space="preserve">The </w:t>
      </w:r>
      <w:r w:rsidR="00AA25C7">
        <w:rPr>
          <w:rFonts w:ascii="Arial" w:eastAsia="Times New Roman" w:hAnsi="Arial" w:cs="Arial"/>
          <w:szCs w:val="20"/>
        </w:rPr>
        <w:t xml:space="preserve">purpose of the code will be achieved through the following </w:t>
      </w:r>
      <w:r w:rsidRPr="008F0FB1">
        <w:rPr>
          <w:rFonts w:ascii="Arial" w:eastAsia="Times New Roman" w:hAnsi="Arial" w:cs="Arial"/>
          <w:szCs w:val="20"/>
        </w:rPr>
        <w:t>overall outcomes:</w:t>
      </w:r>
    </w:p>
    <w:p w:rsidR="008F0FB1" w:rsidRPr="008F0FB1" w:rsidRDefault="00A46664" w:rsidP="004848FB">
      <w:pPr>
        <w:pStyle w:val="ListParagraph"/>
        <w:widowControl w:val="0"/>
        <w:numPr>
          <w:ilvl w:val="1"/>
          <w:numId w:val="6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trike/>
          <w:szCs w:val="20"/>
        </w:rPr>
      </w:pPr>
      <w:r>
        <w:rPr>
          <w:rFonts w:ascii="Arial" w:eastAsia="Times New Roman" w:hAnsi="Arial" w:cs="Arial"/>
          <w:szCs w:val="20"/>
        </w:rPr>
        <w:t>m</w:t>
      </w:r>
      <w:r w:rsidR="008F0FB1" w:rsidRPr="008F0FB1">
        <w:rPr>
          <w:rFonts w:ascii="Arial" w:eastAsia="Times New Roman" w:hAnsi="Arial" w:cs="Arial"/>
          <w:szCs w:val="20"/>
        </w:rPr>
        <w:t>arine industry uses are designed and managed to maintain safety of people and to avoid adverse impa</w:t>
      </w:r>
      <w:r w:rsidR="006A47A2">
        <w:rPr>
          <w:rFonts w:ascii="Arial" w:eastAsia="Times New Roman" w:hAnsi="Arial" w:cs="Arial"/>
          <w:szCs w:val="20"/>
        </w:rPr>
        <w:t xml:space="preserve">cts on the </w:t>
      </w:r>
      <w:bookmarkStart w:id="0" w:name="_GoBack"/>
      <w:bookmarkEnd w:id="0"/>
      <w:r w:rsidR="006A47A2">
        <w:rPr>
          <w:rFonts w:ascii="Arial" w:eastAsia="Times New Roman" w:hAnsi="Arial" w:cs="Arial"/>
          <w:szCs w:val="20"/>
        </w:rPr>
        <w:t>natural environment;</w:t>
      </w:r>
    </w:p>
    <w:p w:rsidR="003177D1" w:rsidRPr="00CD6253" w:rsidRDefault="003177D1" w:rsidP="004848FB">
      <w:pPr>
        <w:pStyle w:val="ListParagraph"/>
        <w:numPr>
          <w:ilvl w:val="1"/>
          <w:numId w:val="63"/>
        </w:numPr>
        <w:spacing w:after="0"/>
        <w:rPr>
          <w:rFonts w:ascii="Arial" w:eastAsia="Times New Roman" w:hAnsi="Arial" w:cs="Arial"/>
          <w:szCs w:val="20"/>
        </w:rPr>
      </w:pPr>
      <w:r w:rsidRPr="00CD6253">
        <w:rPr>
          <w:rFonts w:ascii="Arial" w:eastAsia="Times New Roman" w:hAnsi="Arial" w:cs="Arial"/>
          <w:szCs w:val="20"/>
        </w:rPr>
        <w:t>development reflects and responds to the natural features and constraints of the land</w:t>
      </w:r>
      <w:r>
        <w:rPr>
          <w:rFonts w:ascii="Arial" w:eastAsia="Times New Roman" w:hAnsi="Arial" w:cs="Arial"/>
          <w:szCs w:val="20"/>
        </w:rPr>
        <w:t>;</w:t>
      </w:r>
    </w:p>
    <w:p w:rsidR="008F0FB1" w:rsidRPr="008F0FB1" w:rsidRDefault="00A46664" w:rsidP="004848FB">
      <w:pPr>
        <w:pStyle w:val="ListParagraph"/>
        <w:widowControl w:val="0"/>
        <w:numPr>
          <w:ilvl w:val="1"/>
          <w:numId w:val="6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l</w:t>
      </w:r>
      <w:r w:rsidR="008F0FB1" w:rsidRPr="008F0FB1">
        <w:rPr>
          <w:rFonts w:ascii="Arial" w:hAnsi="Arial" w:cs="Arial"/>
          <w:szCs w:val="20"/>
        </w:rPr>
        <w:t>ot sizes are of</w:t>
      </w:r>
      <w:r w:rsidR="00042202">
        <w:rPr>
          <w:rFonts w:ascii="Arial" w:hAnsi="Arial" w:cs="Arial"/>
          <w:szCs w:val="20"/>
        </w:rPr>
        <w:t xml:space="preserve"> a</w:t>
      </w:r>
      <w:r w:rsidR="008F0FB1" w:rsidRPr="008F0FB1">
        <w:rPr>
          <w:rFonts w:ascii="Arial" w:hAnsi="Arial" w:cs="Arial"/>
          <w:szCs w:val="20"/>
        </w:rPr>
        <w:t xml:space="preserve"> sufficient size to cater for a range of waterfront</w:t>
      </w:r>
      <w:r w:rsidR="006A47A2">
        <w:rPr>
          <w:rFonts w:ascii="Arial" w:hAnsi="Arial" w:cs="Arial"/>
          <w:szCs w:val="20"/>
        </w:rPr>
        <w:t xml:space="preserve"> and marine industrial activity;</w:t>
      </w:r>
    </w:p>
    <w:p w:rsidR="0023610D" w:rsidRPr="0051484C" w:rsidRDefault="00A46664" w:rsidP="004848FB">
      <w:pPr>
        <w:pStyle w:val="ListParagraph"/>
        <w:widowControl w:val="0"/>
        <w:numPr>
          <w:ilvl w:val="1"/>
          <w:numId w:val="6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="008F0FB1" w:rsidRPr="008F0FB1">
        <w:rPr>
          <w:rFonts w:ascii="Arial" w:eastAsia="Times New Roman" w:hAnsi="Arial" w:cs="Arial"/>
          <w:szCs w:val="20"/>
        </w:rPr>
        <w:t>xisting and future marine industry uses and operations are protected from the intrusion of incompatible uses</w:t>
      </w:r>
      <w:r w:rsidR="0023610D">
        <w:rPr>
          <w:rFonts w:ascii="Arial" w:eastAsia="Times New Roman" w:hAnsi="Arial" w:cs="Arial"/>
          <w:szCs w:val="20"/>
        </w:rPr>
        <w:t>;</w:t>
      </w:r>
    </w:p>
    <w:p w:rsidR="0023610D" w:rsidRPr="00CD6253" w:rsidRDefault="0023610D" w:rsidP="004848FB">
      <w:pPr>
        <w:pStyle w:val="ListParagraph"/>
        <w:numPr>
          <w:ilvl w:val="1"/>
          <w:numId w:val="63"/>
        </w:numPr>
        <w:spacing w:after="0"/>
        <w:rPr>
          <w:rFonts w:ascii="Arial" w:eastAsia="Times New Roman" w:hAnsi="Arial" w:cs="Arial"/>
          <w:szCs w:val="20"/>
        </w:rPr>
      </w:pPr>
      <w:r>
        <w:t>development does not affect the operational aspects of the Port of Cairns.</w:t>
      </w:r>
    </w:p>
    <w:p w:rsidR="008F0FB1" w:rsidRPr="005A77FA" w:rsidRDefault="008F0FB1" w:rsidP="008F0FB1">
      <w:pPr>
        <w:pStyle w:val="Heading4"/>
      </w:pPr>
      <w:bookmarkStart w:id="1" w:name="_Ref363559852"/>
      <w:r>
        <w:t>Criteria for a</w:t>
      </w:r>
      <w:r w:rsidRPr="005A77FA">
        <w:t>ssessment</w:t>
      </w:r>
      <w:bookmarkEnd w:id="1"/>
      <w:r w:rsidRPr="005A77FA">
        <w:t xml:space="preserve"> </w:t>
      </w:r>
    </w:p>
    <w:p w:rsidR="008F0FB1" w:rsidRPr="00BF128E" w:rsidRDefault="008F0FB1" w:rsidP="008F0FB1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8F0FB1" w:rsidRPr="005A77FA" w:rsidRDefault="008F0FB1" w:rsidP="008F0FB1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8F0FB1" w:rsidRPr="005A77FA" w:rsidRDefault="008F0FB1" w:rsidP="008F0FB1">
      <w:pPr>
        <w:pStyle w:val="Caption"/>
      </w:pPr>
      <w:r>
        <w:t xml:space="preserve">Table </w:t>
      </w:r>
      <w:r>
        <w:fldChar w:fldCharType="begin"/>
      </w:r>
      <w:r>
        <w:instrText xml:space="preserve"> REF _Ref363559852 \r \h </w:instrText>
      </w:r>
      <w:r>
        <w:fldChar w:fldCharType="separate"/>
      </w:r>
      <w:r w:rsidR="00CF44F9">
        <w:t>6.2.26.3</w:t>
      </w:r>
      <w:r>
        <w:fldChar w:fldCharType="end"/>
      </w:r>
      <w:r>
        <w:t>.a</w:t>
      </w:r>
      <w:r w:rsidRPr="005A77FA">
        <w:t xml:space="preserve"> </w:t>
      </w:r>
      <w:r>
        <w:t xml:space="preserve">– Waterfront and marine industry zone </w:t>
      </w:r>
      <w:r w:rsidR="0072131B">
        <w:t xml:space="preserve">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A23254" w:rsidRPr="005A77FA" w:rsidTr="00A2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23254" w:rsidRPr="005A77FA" w:rsidRDefault="00A23254" w:rsidP="00A23254">
            <w:pPr>
              <w:widowControl w:val="0"/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23254" w:rsidRPr="005A77FA" w:rsidRDefault="00A23254" w:rsidP="00A2325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23254" w:rsidRPr="005A77FA" w:rsidRDefault="00A23254" w:rsidP="00A23254">
            <w:pPr>
              <w:widowControl w:val="0"/>
            </w:pPr>
            <w:r>
              <w:t>Applicant response</w:t>
            </w:r>
          </w:p>
        </w:tc>
      </w:tr>
      <w:tr w:rsidR="00A23254" w:rsidRPr="006F6F35" w:rsidTr="00A2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23254" w:rsidRPr="00621988" w:rsidRDefault="00A23254" w:rsidP="00A23254">
            <w:pPr>
              <w:widowControl w:val="0"/>
              <w:rPr>
                <w:b/>
              </w:rPr>
            </w:pPr>
            <w:r w:rsidRPr="00621988">
              <w:rPr>
                <w:b/>
              </w:rPr>
              <w:t>Fo</w:t>
            </w:r>
            <w:r>
              <w:rPr>
                <w:b/>
              </w:rPr>
              <w:t>r self-assessable and assessable development</w:t>
            </w:r>
          </w:p>
        </w:tc>
      </w:tr>
      <w:tr w:rsidR="00A23254" w:rsidRPr="002C79EE" w:rsidTr="00A2325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23254" w:rsidRDefault="00A23254" w:rsidP="00A23254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A23254" w:rsidRPr="005A77FA" w:rsidTr="00A2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23254" w:rsidRDefault="00A23254" w:rsidP="00A2325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PO1</w:t>
            </w:r>
          </w:p>
          <w:p w:rsidR="00A23254" w:rsidRDefault="00A23254" w:rsidP="00A2325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height of buildings and structures is compatible </w:t>
            </w:r>
            <w:r>
              <w:rPr>
                <w:rFonts w:ascii="Arial" w:hAnsi="Arial" w:cs="Arial"/>
                <w:szCs w:val="20"/>
              </w:rPr>
              <w:lastRenderedPageBreak/>
              <w:t>with the character of the area and does not adversely affect the amenity of the area.</w:t>
            </w:r>
          </w:p>
          <w:p w:rsidR="00A23254" w:rsidRDefault="00A23254" w:rsidP="00A23254">
            <w:pPr>
              <w:widowControl w:val="0"/>
              <w:rPr>
                <w:rFonts w:ascii="Arial" w:hAnsi="Arial" w:cs="Arial"/>
                <w:szCs w:val="20"/>
              </w:rPr>
            </w:pPr>
          </w:p>
          <w:p w:rsidR="00A23254" w:rsidRDefault="00A23254" w:rsidP="00A23254">
            <w:pPr>
              <w:widowControl w:val="0"/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A23254" w:rsidRDefault="00A23254" w:rsidP="00A23254">
            <w:pPr>
              <w:widowControl w:val="0"/>
              <w:rPr>
                <w:sz w:val="16"/>
                <w:szCs w:val="16"/>
              </w:rPr>
            </w:pPr>
          </w:p>
          <w:p w:rsidR="00A23254" w:rsidRPr="0095184D" w:rsidRDefault="00A23254" w:rsidP="00A23254">
            <w:pPr>
              <w:widowControl w:val="0"/>
              <w:rPr>
                <w:rFonts w:ascii="Arial" w:hAnsi="Arial" w:cs="Arial"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within AO1.1 and the setbacks stated in AO2.1 of the Industry design code correspond with the height stated in AO1.1 of this code.  Where a proposed development exceeds the height stated in AO1.1 of this code, the proposed development will also be assessed against PO1 and PO2 of the Industry design code.</w:t>
            </w:r>
          </w:p>
        </w:tc>
        <w:tc>
          <w:tcPr>
            <w:tcW w:w="1667" w:type="pct"/>
          </w:tcPr>
          <w:p w:rsidR="00A23254" w:rsidRDefault="00A23254" w:rsidP="00A232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AO1.1</w:t>
            </w:r>
          </w:p>
          <w:p w:rsidR="00A23254" w:rsidRDefault="00A23254" w:rsidP="00A232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Buildings and structures are not more than 20 </w:t>
            </w:r>
            <w:r>
              <w:rPr>
                <w:rFonts w:ascii="Arial" w:hAnsi="Arial" w:cs="Arial"/>
                <w:szCs w:val="20"/>
              </w:rPr>
              <w:lastRenderedPageBreak/>
              <w:t>metres in height.</w:t>
            </w:r>
          </w:p>
          <w:p w:rsidR="00A23254" w:rsidRDefault="00A23254" w:rsidP="00A232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:rsidR="00A23254" w:rsidRPr="0095184D" w:rsidRDefault="00A23254" w:rsidP="00A232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54367" w:rsidRDefault="00154367" w:rsidP="00A23254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  <w:p w:rsidR="00A23254" w:rsidRPr="00154367" w:rsidRDefault="00154367" w:rsidP="00CB55D3">
            <w:pPr>
              <w:tabs>
                <w:tab w:val="left" w:pos="3540"/>
                <w:tab w:val="right" w:pos="459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="00CB55D3">
              <w:rPr>
                <w:rFonts w:ascii="Arial" w:hAnsi="Arial" w:cs="Arial"/>
                <w:szCs w:val="20"/>
              </w:rPr>
              <w:tab/>
            </w:r>
          </w:p>
        </w:tc>
      </w:tr>
      <w:tr w:rsidR="00A23254" w:rsidRPr="005A77FA" w:rsidTr="00A2325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23254" w:rsidRPr="002C6F61" w:rsidRDefault="00A23254" w:rsidP="00A23254">
            <w:pPr>
              <w:widowControl w:val="0"/>
              <w:rPr>
                <w:rFonts w:ascii="Arial" w:hAnsi="Arial" w:cs="Arial"/>
                <w:b/>
                <w:iCs/>
                <w:szCs w:val="20"/>
              </w:rPr>
            </w:pPr>
            <w:r w:rsidRPr="002C6F61">
              <w:rPr>
                <w:rFonts w:ascii="Arial" w:hAnsi="Arial" w:cs="Arial"/>
                <w:b/>
                <w:iCs/>
                <w:szCs w:val="20"/>
              </w:rPr>
              <w:t>PO2</w:t>
            </w:r>
          </w:p>
          <w:p w:rsidR="00A23254" w:rsidRDefault="00A23254" w:rsidP="00A23254">
            <w:pPr>
              <w:widowContro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 xml:space="preserve">Development does not adversely impact on visibility of the aids to navigation marking the shipping channel. </w:t>
            </w:r>
          </w:p>
        </w:tc>
        <w:tc>
          <w:tcPr>
            <w:tcW w:w="1667" w:type="pct"/>
          </w:tcPr>
          <w:p w:rsidR="00A23254" w:rsidRDefault="00A23254" w:rsidP="00A232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AO2.1</w:t>
            </w:r>
          </w:p>
          <w:p w:rsidR="00A23254" w:rsidRDefault="00A23254" w:rsidP="00A232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 acceptable outcomes are provided.</w:t>
            </w:r>
          </w:p>
          <w:p w:rsidR="00A23254" w:rsidRDefault="00A23254" w:rsidP="00A232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23254" w:rsidRDefault="00A23254" w:rsidP="00A23254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A23254" w:rsidRPr="00621988" w:rsidTr="00A2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23254" w:rsidRDefault="00A23254" w:rsidP="00A2325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For assessable development </w:t>
            </w:r>
          </w:p>
        </w:tc>
      </w:tr>
      <w:tr w:rsidR="00A23254" w:rsidRPr="002C79EE" w:rsidTr="00A2325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23254" w:rsidRDefault="00A23254" w:rsidP="00A23254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A23254" w:rsidRPr="008F0FB1" w:rsidTr="00A2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23254" w:rsidRPr="008F0FB1" w:rsidRDefault="00A23254" w:rsidP="00A23254">
            <w:pPr>
              <w:widowControl w:val="0"/>
              <w:rPr>
                <w:rFonts w:ascii="Arial" w:hAnsi="Arial" w:cs="Arial"/>
                <w:b/>
                <w:szCs w:val="20"/>
              </w:rPr>
            </w:pPr>
            <w:r w:rsidRPr="008F0FB1">
              <w:rPr>
                <w:rFonts w:ascii="Arial" w:hAnsi="Arial" w:cs="Arial"/>
                <w:b/>
                <w:szCs w:val="20"/>
              </w:rPr>
              <w:t>PO</w:t>
            </w:r>
            <w:r>
              <w:rPr>
                <w:rFonts w:ascii="Arial" w:hAnsi="Arial" w:cs="Arial"/>
                <w:b/>
                <w:szCs w:val="20"/>
              </w:rPr>
              <w:t>3</w:t>
            </w:r>
          </w:p>
          <w:p w:rsidR="00A23254" w:rsidRPr="008F0FB1" w:rsidRDefault="00A23254" w:rsidP="00A23254">
            <w:pPr>
              <w:widowControl w:val="0"/>
              <w:rPr>
                <w:rFonts w:ascii="Arial" w:hAnsi="Arial" w:cs="Arial"/>
                <w:szCs w:val="20"/>
                <w:highlight w:val="lightGray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A23254" w:rsidRPr="008F0FB1" w:rsidRDefault="00A23254" w:rsidP="00A232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8F0FB1">
              <w:rPr>
                <w:rFonts w:ascii="Arial" w:hAnsi="Arial" w:cs="Arial"/>
                <w:b/>
                <w:szCs w:val="20"/>
              </w:rPr>
              <w:t>AO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8F0FB1">
              <w:rPr>
                <w:rFonts w:ascii="Arial" w:hAnsi="Arial" w:cs="Arial"/>
                <w:b/>
                <w:szCs w:val="20"/>
              </w:rPr>
              <w:t>.1</w:t>
            </w:r>
          </w:p>
          <w:p w:rsidR="00A23254" w:rsidRDefault="00A23254" w:rsidP="00A232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 acceptable outcomes are provided.</w:t>
            </w:r>
          </w:p>
          <w:p w:rsidR="00A23254" w:rsidRPr="008F0FB1" w:rsidRDefault="00A23254" w:rsidP="00A232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23254" w:rsidRPr="008F0FB1" w:rsidRDefault="00A23254" w:rsidP="00A23254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A23254" w:rsidRPr="008F0FB1" w:rsidTr="00A2325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23254" w:rsidRPr="005835D7" w:rsidRDefault="00A23254" w:rsidP="00A23254">
            <w:pPr>
              <w:widowControl w:val="0"/>
              <w:rPr>
                <w:rFonts w:ascii="Arial" w:eastAsiaTheme="majorEastAsia" w:hAnsi="Arial" w:cs="Arial"/>
                <w:b/>
                <w:color w:val="5B9BD5" w:themeColor="accent1"/>
                <w:szCs w:val="20"/>
                <w:lang w:eastAsia="en-AU"/>
              </w:rPr>
            </w:pPr>
            <w:r w:rsidRPr="005835D7">
              <w:rPr>
                <w:rFonts w:ascii="Arial" w:hAnsi="Arial" w:cs="Arial"/>
                <w:b/>
                <w:szCs w:val="20"/>
              </w:rPr>
              <w:t>PO</w:t>
            </w:r>
            <w:r>
              <w:rPr>
                <w:rFonts w:ascii="Arial" w:hAnsi="Arial" w:cs="Arial"/>
                <w:b/>
                <w:szCs w:val="20"/>
              </w:rPr>
              <w:t>4</w:t>
            </w:r>
          </w:p>
          <w:p w:rsidR="00A23254" w:rsidRPr="005835D7" w:rsidRDefault="00A23254" w:rsidP="00A23254">
            <w:pPr>
              <w:widowControl w:val="0"/>
              <w:rPr>
                <w:rFonts w:ascii="Arial" w:eastAsiaTheme="majorEastAsia" w:hAnsi="Arial" w:cs="Arial"/>
                <w:color w:val="5B9BD5" w:themeColor="accent1"/>
                <w:szCs w:val="20"/>
                <w:lang w:eastAsia="en-AU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5835D7">
              <w:rPr>
                <w:rFonts w:ascii="Arial" w:hAnsi="Arial" w:cs="Arial"/>
                <w:szCs w:val="20"/>
              </w:rPr>
              <w:t>on-</w:t>
            </w:r>
            <w:r>
              <w:rPr>
                <w:rFonts w:ascii="Arial" w:hAnsi="Arial" w:cs="Arial"/>
                <w:szCs w:val="20"/>
              </w:rPr>
              <w:t xml:space="preserve">industry </w:t>
            </w:r>
            <w:r w:rsidRPr="005835D7">
              <w:rPr>
                <w:rFonts w:ascii="Arial" w:hAnsi="Arial" w:cs="Arial"/>
                <w:szCs w:val="20"/>
              </w:rPr>
              <w:t xml:space="preserve">activities compatible with the Waterfront and </w:t>
            </w:r>
            <w:r>
              <w:rPr>
                <w:rFonts w:ascii="Arial" w:hAnsi="Arial" w:cs="Arial"/>
                <w:szCs w:val="20"/>
              </w:rPr>
              <w:t>m</w:t>
            </w:r>
            <w:r w:rsidRPr="005835D7">
              <w:rPr>
                <w:rFonts w:ascii="Arial" w:hAnsi="Arial" w:cs="Arial"/>
                <w:szCs w:val="20"/>
              </w:rPr>
              <w:t xml:space="preserve">arine </w:t>
            </w:r>
            <w:r>
              <w:rPr>
                <w:rFonts w:ascii="Arial" w:hAnsi="Arial" w:cs="Arial"/>
                <w:szCs w:val="20"/>
              </w:rPr>
              <w:t>i</w:t>
            </w:r>
            <w:r w:rsidRPr="005835D7">
              <w:rPr>
                <w:rFonts w:ascii="Arial" w:hAnsi="Arial" w:cs="Arial"/>
                <w:szCs w:val="20"/>
              </w:rPr>
              <w:t xml:space="preserve">ndustry </w:t>
            </w:r>
            <w:r>
              <w:rPr>
                <w:rFonts w:ascii="Arial" w:hAnsi="Arial" w:cs="Arial"/>
                <w:szCs w:val="20"/>
              </w:rPr>
              <w:t>z</w:t>
            </w:r>
            <w:r w:rsidRPr="005835D7">
              <w:rPr>
                <w:rFonts w:ascii="Arial" w:hAnsi="Arial" w:cs="Arial"/>
                <w:szCs w:val="20"/>
              </w:rPr>
              <w:t>one include those that:</w:t>
            </w:r>
          </w:p>
          <w:p w:rsidR="00A23254" w:rsidRPr="001C0D1D" w:rsidRDefault="00A23254" w:rsidP="00A23254">
            <w:pPr>
              <w:widowControl w:val="0"/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>
              <w:rPr>
                <w:rFonts w:ascii="Arial" w:hAnsi="Arial" w:cs="Arial"/>
                <w:szCs w:val="20"/>
              </w:rPr>
              <w:t>(a)</w:t>
            </w:r>
            <w:r>
              <w:rPr>
                <w:rFonts w:ascii="Arial" w:hAnsi="Arial" w:cs="Arial"/>
                <w:szCs w:val="20"/>
              </w:rPr>
              <w:tab/>
              <w:t xml:space="preserve">do not </w:t>
            </w:r>
            <w:r w:rsidRPr="001C0D1D">
              <w:rPr>
                <w:szCs w:val="20"/>
              </w:rPr>
              <w:t>compromise the operations of medium impact industry uses</w:t>
            </w:r>
            <w:r>
              <w:rPr>
                <w:szCs w:val="20"/>
              </w:rPr>
              <w:t>;</w:t>
            </w:r>
          </w:p>
          <w:p w:rsidR="00A23254" w:rsidRPr="005835D7" w:rsidRDefault="00A23254" w:rsidP="00A23254">
            <w:pPr>
              <w:widowControl w:val="0"/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5835D7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b</w:t>
            </w:r>
            <w:r w:rsidRPr="005835D7">
              <w:rPr>
                <w:rFonts w:ascii="Arial" w:hAnsi="Arial" w:cs="Arial"/>
                <w:szCs w:val="20"/>
              </w:rPr>
              <w:t>)</w:t>
            </w:r>
            <w:r w:rsidRPr="005835D7">
              <w:rPr>
                <w:rFonts w:ascii="Arial" w:hAnsi="Arial" w:cs="Arial"/>
                <w:szCs w:val="20"/>
              </w:rPr>
              <w:tab/>
              <w:t>do not compromise the hierarchy of centres in the region;</w:t>
            </w:r>
          </w:p>
          <w:p w:rsidR="00A23254" w:rsidRPr="005835D7" w:rsidRDefault="00A23254" w:rsidP="00A23254">
            <w:pPr>
              <w:widowControl w:val="0"/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5835D7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c</w:t>
            </w:r>
            <w:r w:rsidRPr="005835D7">
              <w:rPr>
                <w:rFonts w:ascii="Arial" w:hAnsi="Arial" w:cs="Arial"/>
                <w:szCs w:val="20"/>
              </w:rPr>
              <w:t>)</w:t>
            </w:r>
            <w:r w:rsidRPr="005835D7">
              <w:rPr>
                <w:rFonts w:ascii="Arial" w:hAnsi="Arial" w:cs="Arial"/>
                <w:szCs w:val="20"/>
              </w:rPr>
              <w:tab/>
              <w:t xml:space="preserve">complement </w:t>
            </w:r>
            <w:r>
              <w:rPr>
                <w:rFonts w:ascii="Arial" w:hAnsi="Arial" w:cs="Arial"/>
                <w:szCs w:val="20"/>
              </w:rPr>
              <w:t xml:space="preserve">waterfront and marine industry </w:t>
            </w:r>
            <w:r w:rsidRPr="005835D7">
              <w:rPr>
                <w:rFonts w:ascii="Arial" w:hAnsi="Arial" w:cs="Arial"/>
                <w:szCs w:val="20"/>
              </w:rPr>
              <w:t>activities;</w:t>
            </w:r>
          </w:p>
          <w:p w:rsidR="00A23254" w:rsidRPr="005835D7" w:rsidRDefault="00A23254" w:rsidP="00A23254">
            <w:pPr>
              <w:widowControl w:val="0"/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5835D7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d</w:t>
            </w:r>
            <w:r w:rsidRPr="005835D7">
              <w:rPr>
                <w:rFonts w:ascii="Arial" w:hAnsi="Arial" w:cs="Arial"/>
                <w:szCs w:val="20"/>
              </w:rPr>
              <w:t>)</w:t>
            </w:r>
            <w:r w:rsidRPr="005835D7">
              <w:rPr>
                <w:rFonts w:ascii="Arial" w:hAnsi="Arial" w:cs="Arial"/>
                <w:szCs w:val="20"/>
              </w:rPr>
              <w:tab/>
              <w:t>require large land holdings and/or buildings;</w:t>
            </w:r>
          </w:p>
          <w:p w:rsidR="00A23254" w:rsidRPr="005835D7" w:rsidRDefault="00A23254" w:rsidP="00A23254">
            <w:pPr>
              <w:widowControl w:val="0"/>
              <w:ind w:left="426" w:hanging="426"/>
              <w:rPr>
                <w:rFonts w:ascii="Arial" w:eastAsiaTheme="minorEastAsia" w:hAnsi="Arial" w:cs="Arial"/>
                <w:szCs w:val="20"/>
                <w:lang w:eastAsia="en-AU"/>
              </w:rPr>
            </w:pPr>
            <w:r w:rsidRPr="005835D7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e</w:t>
            </w:r>
            <w:r w:rsidRPr="005835D7">
              <w:rPr>
                <w:rFonts w:ascii="Arial" w:hAnsi="Arial" w:cs="Arial"/>
                <w:szCs w:val="20"/>
              </w:rPr>
              <w:t>)</w:t>
            </w:r>
            <w:r w:rsidRPr="005835D7">
              <w:rPr>
                <w:rFonts w:ascii="Arial" w:hAnsi="Arial" w:cs="Arial"/>
                <w:szCs w:val="20"/>
              </w:rPr>
              <w:tab/>
              <w:t xml:space="preserve">adequately cater for the individual car parking needs; </w:t>
            </w:r>
          </w:p>
          <w:p w:rsidR="00A23254" w:rsidRPr="008F0FB1" w:rsidRDefault="00A23254" w:rsidP="00A23254">
            <w:pPr>
              <w:widowControl w:val="0"/>
              <w:tabs>
                <w:tab w:val="left" w:pos="557"/>
              </w:tabs>
              <w:ind w:left="426" w:hanging="426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5835D7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f</w:t>
            </w:r>
            <w:r w:rsidRPr="005835D7">
              <w:rPr>
                <w:rFonts w:ascii="Arial" w:hAnsi="Arial" w:cs="Arial"/>
                <w:szCs w:val="20"/>
              </w:rPr>
              <w:t>)</w:t>
            </w:r>
            <w:r w:rsidRPr="005835D7">
              <w:rPr>
                <w:rFonts w:ascii="Arial" w:hAnsi="Arial" w:cs="Arial"/>
                <w:szCs w:val="20"/>
              </w:rPr>
              <w:tab/>
              <w:t>provide a service to the nearby workforce.</w:t>
            </w:r>
          </w:p>
        </w:tc>
        <w:tc>
          <w:tcPr>
            <w:tcW w:w="1667" w:type="pct"/>
          </w:tcPr>
          <w:p w:rsidR="00A23254" w:rsidRPr="005835D7" w:rsidRDefault="00A23254" w:rsidP="00A232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5835D7">
              <w:rPr>
                <w:rFonts w:ascii="Arial" w:hAnsi="Arial" w:cs="Arial"/>
                <w:b/>
                <w:szCs w:val="20"/>
              </w:rPr>
              <w:t>AO</w:t>
            </w:r>
            <w:r>
              <w:rPr>
                <w:rFonts w:ascii="Arial" w:hAnsi="Arial" w:cs="Arial"/>
                <w:b/>
                <w:szCs w:val="20"/>
              </w:rPr>
              <w:t>4.1</w:t>
            </w:r>
          </w:p>
          <w:p w:rsidR="00A23254" w:rsidRPr="008F0FB1" w:rsidRDefault="00A23254" w:rsidP="00A232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2C084C">
              <w:rPr>
                <w:rFonts w:ascii="Arial" w:hAnsi="Arial" w:cs="Arial"/>
                <w:szCs w:val="20"/>
                <w:shd w:val="clear" w:color="auto" w:fill="FFFFFF"/>
              </w:rPr>
              <w:t xml:space="preserve">No acceptable outcomes are 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provided</w:t>
            </w:r>
            <w:r w:rsidRPr="002C084C">
              <w:rPr>
                <w:rFonts w:ascii="Arial" w:hAnsi="Arial" w:cs="Arial"/>
                <w:szCs w:val="20"/>
                <w:shd w:val="clear" w:color="auto" w:fill="FFFFFF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23254" w:rsidRPr="005835D7" w:rsidRDefault="00A23254" w:rsidP="00A23254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A23254" w:rsidRPr="008F0FB1" w:rsidTr="00A2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A23254" w:rsidRDefault="00A23254" w:rsidP="00A23254">
            <w:pPr>
              <w:widowContro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Site constraints</w:t>
            </w:r>
          </w:p>
        </w:tc>
      </w:tr>
      <w:tr w:rsidR="00A23254" w:rsidRPr="008F0FB1" w:rsidTr="00A2325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A23254" w:rsidRPr="00FC5724" w:rsidRDefault="00A23254" w:rsidP="00A23254">
            <w:pPr>
              <w:widowControl w:val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A23254" w:rsidRPr="00666E8C" w:rsidRDefault="00A23254" w:rsidP="00A23254">
            <w:pPr>
              <w:widowControl w:val="0"/>
              <w:rPr>
                <w:rFonts w:eastAsiaTheme="minorEastAsia"/>
                <w:lang w:eastAsia="en-AU"/>
              </w:rPr>
            </w:pPr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A23254" w:rsidRPr="00666E8C" w:rsidRDefault="00A23254" w:rsidP="00A23254">
            <w:pPr>
              <w:widowControl w:val="0"/>
              <w:rPr>
                <w:rFonts w:eastAsiaTheme="minorEastAsia"/>
                <w:lang w:eastAsia="en-AU"/>
              </w:rPr>
            </w:pPr>
          </w:p>
          <w:p w:rsidR="00A23254" w:rsidRPr="008F0FB1" w:rsidRDefault="00A23254" w:rsidP="00A23254">
            <w:pPr>
              <w:widowControl w:val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A23254" w:rsidRPr="00FC5724" w:rsidRDefault="00A23254" w:rsidP="00A232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A23254" w:rsidRPr="008F0FB1" w:rsidRDefault="00A23254" w:rsidP="00A232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23254" w:rsidRPr="00FC5724" w:rsidRDefault="00A23254" w:rsidP="00A23254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:rsidR="00E16D4C" w:rsidRDefault="00E16D4C" w:rsidP="00024179">
      <w:pPr>
        <w:rPr>
          <w:rFonts w:eastAsia="Times New Roman"/>
        </w:rPr>
      </w:pPr>
    </w:p>
    <w:sectPr w:rsidR="00E16D4C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43" w:rsidRDefault="00F83043">
      <w:pPr>
        <w:spacing w:after="0" w:line="240" w:lineRule="auto"/>
      </w:pPr>
      <w:r>
        <w:separator/>
      </w:r>
    </w:p>
  </w:endnote>
  <w:endnote w:type="continuationSeparator" w:id="0">
    <w:p w:rsidR="00F83043" w:rsidRDefault="00F8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422975EA" wp14:editId="4B9D616E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6FAFA77A" wp14:editId="40B8F073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154367" w:rsidRDefault="00107CB9" w:rsidP="00154367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A23254" w:rsidRPr="00A23254">
              <w:rPr>
                <w:color w:val="0064A7"/>
                <w:sz w:val="16"/>
                <w:szCs w:val="16"/>
              </w:rPr>
              <w:t>6.2.26</w:t>
            </w:r>
            <w:r w:rsidR="00A23254" w:rsidRPr="00A23254">
              <w:rPr>
                <w:color w:val="0064A7"/>
                <w:sz w:val="16"/>
                <w:szCs w:val="16"/>
              </w:rPr>
              <w:tab/>
            </w:r>
            <w:r w:rsidR="00A23254">
              <w:rPr>
                <w:color w:val="0064A7"/>
                <w:sz w:val="16"/>
                <w:szCs w:val="16"/>
              </w:rPr>
              <w:t xml:space="preserve"> </w:t>
            </w:r>
            <w:r w:rsidR="00A23254" w:rsidRPr="00A23254">
              <w:rPr>
                <w:color w:val="0064A7"/>
                <w:sz w:val="16"/>
                <w:szCs w:val="16"/>
              </w:rPr>
              <w:t>Waterfront and marine industry zone code</w:t>
            </w:r>
            <w:r w:rsidR="00A23254">
              <w:rPr>
                <w:color w:val="0064A7"/>
                <w:sz w:val="16"/>
                <w:szCs w:val="16"/>
              </w:rPr>
              <w:t xml:space="preserve">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C4795A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 </w:t>
            </w:r>
            <w:r w:rsidR="00154367">
              <w:rPr>
                <w:color w:val="0064A7"/>
                <w:sz w:val="16"/>
                <w:szCs w:val="16"/>
              </w:rPr>
              <w:t>CairnsPlan 2016 Version 2.</w:t>
            </w:r>
            <w:r w:rsidR="00CB55D3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CB55D3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CB55D3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43" w:rsidRDefault="00F83043">
      <w:pPr>
        <w:spacing w:after="0" w:line="240" w:lineRule="auto"/>
      </w:pPr>
      <w:r>
        <w:separator/>
      </w:r>
    </w:p>
  </w:footnote>
  <w:footnote w:type="continuationSeparator" w:id="0">
    <w:p w:rsidR="00F83043" w:rsidRDefault="00F8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73C743E2" wp14:editId="3E843D66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7234351D" wp14:editId="57E6892D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DCD67FEE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4367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10F3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65DDE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31B1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23254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4795A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B55D3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366D1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043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2E748E"/>
  <w15:docId w15:val="{81CE1983-3D3B-455F-802E-62E59B9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D3A31C-2C27-45C6-B58C-5B2C0AFE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2016-02-26T05:38:00Z</dcterms:created>
  <dcterms:modified xsi:type="dcterms:W3CDTF">2019-10-31T23:10:00Z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