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4127" w14:textId="77777777" w:rsidR="004716D1" w:rsidRDefault="00714781">
      <w:pPr>
        <w:pStyle w:val="Title"/>
        <w:numPr>
          <w:ilvl w:val="2"/>
          <w:numId w:val="4"/>
        </w:numPr>
        <w:tabs>
          <w:tab w:val="left" w:pos="965"/>
          <w:tab w:val="left" w:pos="966"/>
        </w:tabs>
        <w:ind w:hanging="854"/>
      </w:pPr>
      <w:r>
        <w:t>Acid</w:t>
      </w:r>
      <w:r>
        <w:rPr>
          <w:spacing w:val="-1"/>
        </w:rPr>
        <w:t xml:space="preserve"> </w:t>
      </w:r>
      <w:r>
        <w:t>sulfate</w:t>
      </w:r>
      <w:r>
        <w:rPr>
          <w:spacing w:val="-2"/>
        </w:rPr>
        <w:t xml:space="preserve"> </w:t>
      </w:r>
      <w:r>
        <w:t>soils</w:t>
      </w:r>
      <w:r>
        <w:rPr>
          <w:spacing w:val="-1"/>
        </w:rPr>
        <w:t xml:space="preserve"> </w:t>
      </w:r>
      <w:r>
        <w:t>overlay</w:t>
      </w:r>
      <w:r>
        <w:rPr>
          <w:spacing w:val="-2"/>
        </w:rPr>
        <w:t xml:space="preserve"> </w:t>
      </w:r>
      <w:r>
        <w:t>code</w:t>
      </w:r>
    </w:p>
    <w:p w14:paraId="7E314AE2" w14:textId="77777777" w:rsidR="004716D1" w:rsidRDefault="004716D1">
      <w:pPr>
        <w:pStyle w:val="BodyText"/>
        <w:spacing w:before="4"/>
        <w:rPr>
          <w:b/>
          <w:sz w:val="24"/>
        </w:rPr>
      </w:pPr>
    </w:p>
    <w:p w14:paraId="4412B883" w14:textId="77777777" w:rsidR="004716D1" w:rsidRDefault="00714781">
      <w:pPr>
        <w:pStyle w:val="Heading1"/>
        <w:numPr>
          <w:ilvl w:val="3"/>
          <w:numId w:val="4"/>
        </w:numPr>
        <w:tabs>
          <w:tab w:val="left" w:pos="965"/>
          <w:tab w:val="left" w:pos="966"/>
        </w:tabs>
        <w:ind w:hanging="854"/>
      </w:pPr>
      <w:r>
        <w:t>Application</w:t>
      </w:r>
    </w:p>
    <w:p w14:paraId="1D3D4F89" w14:textId="77777777" w:rsidR="004716D1" w:rsidRDefault="00714781">
      <w:pPr>
        <w:pStyle w:val="BodyText"/>
        <w:spacing w:before="154" w:line="482" w:lineRule="auto"/>
        <w:ind w:left="112" w:right="1049"/>
      </w:pPr>
      <w:r>
        <w:t>This code applies to assessing development within the Acid sulfate soils overlay as shown on the Acid sulfate soils overlay maps contained in Schedule 2.</w:t>
      </w:r>
      <w:r>
        <w:rPr>
          <w:spacing w:val="-5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5.</w:t>
      </w:r>
    </w:p>
    <w:p w14:paraId="5420FB5B" w14:textId="77777777" w:rsidR="004716D1" w:rsidRDefault="00714781">
      <w:pPr>
        <w:pStyle w:val="Heading1"/>
        <w:numPr>
          <w:ilvl w:val="3"/>
          <w:numId w:val="4"/>
        </w:numPr>
        <w:tabs>
          <w:tab w:val="left" w:pos="965"/>
          <w:tab w:val="left" w:pos="966"/>
        </w:tabs>
        <w:spacing w:before="45"/>
        <w:ind w:hanging="854"/>
      </w:pPr>
      <w:r>
        <w:t>Purpose</w:t>
      </w:r>
    </w:p>
    <w:p w14:paraId="1057C1EE" w14:textId="77777777" w:rsidR="004716D1" w:rsidRDefault="00714781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5" w:line="276" w:lineRule="auto"/>
        <w:ind w:right="428"/>
        <w:rPr>
          <w:sz w:val="20"/>
        </w:rPr>
      </w:pPr>
      <w:r>
        <w:rPr>
          <w:sz w:val="20"/>
        </w:rPr>
        <w:t>The purpose of the Acid sulfate soils overlay code is to ensure that development which occurs on a site containing or potentially containing acid sulfate</w:t>
      </w:r>
      <w:r>
        <w:rPr>
          <w:spacing w:val="1"/>
          <w:sz w:val="20"/>
        </w:rPr>
        <w:t xml:space="preserve"> </w:t>
      </w:r>
      <w:r>
        <w:rPr>
          <w:sz w:val="20"/>
        </w:rPr>
        <w:t>soils is undertaken so that the potential risks to the natural and built environment or human health associated with disturbing acid sulfate soils are identified</w:t>
      </w:r>
      <w:r>
        <w:rPr>
          <w:spacing w:val="-53"/>
          <w:sz w:val="20"/>
        </w:rPr>
        <w:t xml:space="preserve"> </w:t>
      </w:r>
      <w:r>
        <w:rPr>
          <w:sz w:val="20"/>
        </w:rPr>
        <w:t>and addressed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avoidance</w:t>
      </w:r>
      <w:r>
        <w:rPr>
          <w:spacing w:val="1"/>
          <w:sz w:val="20"/>
        </w:rPr>
        <w:t xml:space="preserve"> </w:t>
      </w:r>
      <w:r>
        <w:rPr>
          <w:sz w:val="20"/>
        </w:rPr>
        <w:t>or mitigation.</w:t>
      </w:r>
    </w:p>
    <w:p w14:paraId="11B78235" w14:textId="77777777" w:rsidR="004716D1" w:rsidRDefault="004716D1">
      <w:pPr>
        <w:pStyle w:val="BodyText"/>
        <w:spacing w:before="4"/>
        <w:rPr>
          <w:sz w:val="17"/>
        </w:rPr>
      </w:pPr>
    </w:p>
    <w:p w14:paraId="480AEE51" w14:textId="77777777" w:rsidR="004716D1" w:rsidRDefault="00714781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 the following 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666562B4" w14:textId="77777777" w:rsidR="004716D1" w:rsidRDefault="00714781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disturbance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acid</w:t>
      </w:r>
      <w:r>
        <w:rPr>
          <w:spacing w:val="-3"/>
          <w:sz w:val="20"/>
        </w:rPr>
        <w:t xml:space="preserve"> </w:t>
      </w:r>
      <w:r>
        <w:rPr>
          <w:sz w:val="20"/>
        </w:rPr>
        <w:t>sulfate</w:t>
      </w:r>
      <w:r>
        <w:rPr>
          <w:spacing w:val="-3"/>
          <w:sz w:val="20"/>
        </w:rPr>
        <w:t xml:space="preserve"> </w:t>
      </w:r>
      <w:r>
        <w:rPr>
          <w:sz w:val="20"/>
        </w:rPr>
        <w:t>soils</w:t>
      </w:r>
      <w:r>
        <w:rPr>
          <w:spacing w:val="-1"/>
          <w:sz w:val="20"/>
        </w:rPr>
        <w:t xml:space="preserve"> </w:t>
      </w:r>
      <w:r>
        <w:rPr>
          <w:sz w:val="20"/>
        </w:rPr>
        <w:t>is avoided;</w:t>
      </w:r>
    </w:p>
    <w:p w14:paraId="5A8885F4" w14:textId="77777777" w:rsidR="004716D1" w:rsidRDefault="00714781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 w:line="276" w:lineRule="auto"/>
        <w:ind w:right="506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disturbance of</w:t>
      </w:r>
      <w:r>
        <w:rPr>
          <w:spacing w:val="-3"/>
          <w:sz w:val="20"/>
        </w:rPr>
        <w:t xml:space="preserve"> </w:t>
      </w:r>
      <w:r>
        <w:rPr>
          <w:sz w:val="20"/>
        </w:rPr>
        <w:t>acid</w:t>
      </w:r>
      <w:r>
        <w:rPr>
          <w:spacing w:val="-2"/>
          <w:sz w:val="20"/>
        </w:rPr>
        <w:t xml:space="preserve"> </w:t>
      </w:r>
      <w:r>
        <w:rPr>
          <w:sz w:val="20"/>
        </w:rPr>
        <w:t>sulfate</w:t>
      </w:r>
      <w:r>
        <w:rPr>
          <w:spacing w:val="-3"/>
          <w:sz w:val="20"/>
        </w:rPr>
        <w:t xml:space="preserve"> </w:t>
      </w:r>
      <w:r>
        <w:rPr>
          <w:sz w:val="20"/>
        </w:rPr>
        <w:t>soils is</w:t>
      </w:r>
      <w:r>
        <w:rPr>
          <w:spacing w:val="3"/>
          <w:sz w:val="20"/>
        </w:rPr>
        <w:t xml:space="preserve"> </w:t>
      </w:r>
      <w:r>
        <w:rPr>
          <w:sz w:val="20"/>
        </w:rPr>
        <w:t>reasonably</w:t>
      </w:r>
      <w:r>
        <w:rPr>
          <w:spacing w:val="-2"/>
          <w:sz w:val="20"/>
        </w:rPr>
        <w:t xml:space="preserve"> </w:t>
      </w:r>
      <w:r>
        <w:rPr>
          <w:sz w:val="20"/>
        </w:rPr>
        <w:t>necessary,</w:t>
      </w:r>
      <w:r>
        <w:rPr>
          <w:spacing w:val="-3"/>
          <w:sz w:val="20"/>
        </w:rPr>
        <w:t xml:space="preserve"> </w:t>
      </w:r>
      <w:r>
        <w:rPr>
          <w:sz w:val="20"/>
        </w:rPr>
        <w:t>the generation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release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acid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metal</w:t>
      </w:r>
      <w:r>
        <w:rPr>
          <w:spacing w:val="-3"/>
          <w:sz w:val="20"/>
        </w:rPr>
        <w:t xml:space="preserve"> </w:t>
      </w:r>
      <w:r>
        <w:rPr>
          <w:sz w:val="20"/>
        </w:rPr>
        <w:t>contaminants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acid sulfate</w:t>
      </w:r>
      <w:r>
        <w:rPr>
          <w:spacing w:val="-3"/>
          <w:sz w:val="20"/>
        </w:rPr>
        <w:t xml:space="preserve"> </w:t>
      </w:r>
      <w:r>
        <w:rPr>
          <w:sz w:val="20"/>
        </w:rPr>
        <w:t>soils</w:t>
      </w:r>
      <w:r>
        <w:rPr>
          <w:spacing w:val="-5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potential acid</w:t>
      </w:r>
      <w:r>
        <w:rPr>
          <w:spacing w:val="1"/>
          <w:sz w:val="20"/>
        </w:rPr>
        <w:t xml:space="preserve"> </w:t>
      </w:r>
      <w:r>
        <w:rPr>
          <w:sz w:val="20"/>
        </w:rPr>
        <w:t>sulfate</w:t>
      </w:r>
      <w:r>
        <w:rPr>
          <w:spacing w:val="-1"/>
          <w:sz w:val="20"/>
        </w:rPr>
        <w:t xml:space="preserve"> </w:t>
      </w:r>
      <w:r>
        <w:rPr>
          <w:sz w:val="20"/>
        </w:rPr>
        <w:t>soils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adverse impacts 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natural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built environment</w:t>
      </w:r>
      <w:r>
        <w:rPr>
          <w:spacing w:val="-1"/>
          <w:sz w:val="20"/>
        </w:rPr>
        <w:t xml:space="preserve"> </w:t>
      </w:r>
      <w:r>
        <w:rPr>
          <w:sz w:val="20"/>
        </w:rPr>
        <w:t>and human</w:t>
      </w:r>
      <w:r>
        <w:rPr>
          <w:spacing w:val="1"/>
          <w:sz w:val="20"/>
        </w:rPr>
        <w:t xml:space="preserve"> </w:t>
      </w:r>
      <w:r>
        <w:rPr>
          <w:sz w:val="20"/>
        </w:rPr>
        <w:t>health.</w:t>
      </w:r>
    </w:p>
    <w:p w14:paraId="4287D76E" w14:textId="77777777" w:rsidR="004716D1" w:rsidRDefault="004716D1">
      <w:pPr>
        <w:pStyle w:val="BodyText"/>
        <w:rPr>
          <w:sz w:val="21"/>
        </w:rPr>
      </w:pPr>
    </w:p>
    <w:p w14:paraId="70605F1D" w14:textId="77777777" w:rsidR="004716D1" w:rsidRDefault="00714781">
      <w:pPr>
        <w:pStyle w:val="Heading1"/>
        <w:numPr>
          <w:ilvl w:val="3"/>
          <w:numId w:val="4"/>
        </w:numPr>
        <w:tabs>
          <w:tab w:val="left" w:pos="965"/>
          <w:tab w:val="left" w:pos="966"/>
        </w:tabs>
        <w:spacing w:before="1"/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3C2DD8AA" w14:textId="77777777" w:rsidR="004716D1" w:rsidRDefault="00714781">
      <w:pPr>
        <w:spacing w:before="153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8.2.1.3.</w:t>
        </w:r>
      </w:hyperlink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Acid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sulfate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soils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overlay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code 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9"/>
        <w:gridCol w:w="4757"/>
      </w:tblGrid>
      <w:tr w:rsidR="004716D1" w14:paraId="3A23E15A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5DDD8C9" w14:textId="77777777" w:rsidR="004716D1" w:rsidRDefault="00714781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AD2677D" w14:textId="77777777" w:rsidR="004716D1" w:rsidRDefault="00714781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4D929C3" w14:textId="77777777" w:rsidR="004716D1" w:rsidRDefault="00714781">
            <w:pPr>
              <w:pStyle w:val="TableParagraph"/>
              <w:spacing w:before="93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716D1" w14:paraId="5CC83712" w14:textId="77777777">
        <w:trPr>
          <w:trHeight w:val="395"/>
        </w:trPr>
        <w:tc>
          <w:tcPr>
            <w:tcW w:w="14276" w:type="dxa"/>
            <w:gridSpan w:val="3"/>
            <w:shd w:val="clear" w:color="auto" w:fill="D9D9D9"/>
          </w:tcPr>
          <w:p w14:paraId="0D89066D" w14:textId="77777777" w:rsidR="004716D1" w:rsidRDefault="00714781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4716D1" w14:paraId="75DDD1CA" w14:textId="77777777">
        <w:trPr>
          <w:trHeight w:val="388"/>
        </w:trPr>
        <w:tc>
          <w:tcPr>
            <w:tcW w:w="14276" w:type="dxa"/>
            <w:gridSpan w:val="3"/>
            <w:shd w:val="clear" w:color="auto" w:fill="D9D9D9"/>
          </w:tcPr>
          <w:p w14:paraId="07F5A594" w14:textId="77777777" w:rsidR="004716D1" w:rsidRDefault="00714781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Identification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acid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sulfate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soils</w:t>
            </w:r>
          </w:p>
        </w:tc>
      </w:tr>
      <w:tr w:rsidR="004716D1" w14:paraId="7ECB4A3A" w14:textId="77777777">
        <w:trPr>
          <w:trHeight w:val="2357"/>
        </w:trPr>
        <w:tc>
          <w:tcPr>
            <w:tcW w:w="4760" w:type="dxa"/>
          </w:tcPr>
          <w:p w14:paraId="59C626F8" w14:textId="77777777" w:rsidR="004716D1" w:rsidRDefault="00714781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21D1EA36" w14:textId="77777777" w:rsidR="004716D1" w:rsidRDefault="00714781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disturbed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identified.</w:t>
            </w:r>
          </w:p>
        </w:tc>
        <w:tc>
          <w:tcPr>
            <w:tcW w:w="4759" w:type="dxa"/>
          </w:tcPr>
          <w:p w14:paraId="0D12E599" w14:textId="77777777" w:rsidR="004716D1" w:rsidRDefault="00714781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28FED91A" w14:textId="77777777" w:rsidR="004716D1" w:rsidRDefault="00714781">
            <w:pPr>
              <w:pStyle w:val="TableParagraph"/>
              <w:spacing w:before="1" w:line="477" w:lineRule="auto"/>
              <w:ind w:right="96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excavation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filling occurs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3DB8EF7" w14:textId="77777777" w:rsidR="004716D1" w:rsidRDefault="00714781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29086F60" w14:textId="77777777" w:rsidR="004716D1" w:rsidRDefault="0071478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soils investigation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undertaken.</w:t>
            </w:r>
          </w:p>
          <w:p w14:paraId="43A580F4" w14:textId="77777777" w:rsidR="004716D1" w:rsidRDefault="004716D1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3F50EAA1" w14:textId="77777777" w:rsidR="004716D1" w:rsidRDefault="00714781">
            <w:pPr>
              <w:pStyle w:val="TableParagraph"/>
              <w:ind w:right="463"/>
              <w:rPr>
                <w:sz w:val="16"/>
              </w:rPr>
            </w:pPr>
            <w:r>
              <w:rPr>
                <w:sz w:val="16"/>
              </w:rPr>
              <w:t xml:space="preserve">Note – Planning scheme policy - Acid sulfate soils </w:t>
            </w:r>
            <w:proofErr w:type="gramStart"/>
            <w:r>
              <w:rPr>
                <w:sz w:val="16"/>
              </w:rPr>
              <w:t>provides</w:t>
            </w:r>
            <w:proofErr w:type="gram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sulfate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soils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investigation.</w:t>
            </w:r>
          </w:p>
        </w:tc>
        <w:tc>
          <w:tcPr>
            <w:tcW w:w="4757" w:type="dxa"/>
          </w:tcPr>
          <w:p w14:paraId="1E460219" w14:textId="77777777" w:rsidR="004716D1" w:rsidRDefault="00471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7EB8868" w14:textId="77777777" w:rsidR="004716D1" w:rsidRDefault="004716D1">
      <w:pPr>
        <w:pStyle w:val="BodyText"/>
        <w:rPr>
          <w:b/>
        </w:rPr>
      </w:pPr>
    </w:p>
    <w:p w14:paraId="01DCE902" w14:textId="77777777" w:rsidR="004716D1" w:rsidRDefault="004716D1">
      <w:pPr>
        <w:pStyle w:val="BodyText"/>
        <w:rPr>
          <w:b/>
        </w:rPr>
      </w:pPr>
    </w:p>
    <w:p w14:paraId="12E3A26F" w14:textId="77777777" w:rsidR="004716D1" w:rsidRDefault="00714781">
      <w:pPr>
        <w:pStyle w:val="BodyText"/>
        <w:spacing w:before="5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80C739" wp14:editId="4D679133">
            <wp:simplePos x="0" y="0"/>
            <wp:positionH relativeFrom="page">
              <wp:posOffset>4032884</wp:posOffset>
            </wp:positionH>
            <wp:positionV relativeFrom="paragraph">
              <wp:posOffset>210486</wp:posOffset>
            </wp:positionV>
            <wp:extent cx="5738931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93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B325A" w14:textId="77777777" w:rsidR="004716D1" w:rsidRDefault="004716D1">
      <w:pPr>
        <w:rPr>
          <w:sz w:val="25"/>
        </w:rPr>
        <w:sectPr w:rsidR="004716D1">
          <w:headerReference w:type="default" r:id="rId8"/>
          <w:footerReference w:type="default" r:id="rId9"/>
          <w:type w:val="continuous"/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11276FC1" w14:textId="77777777" w:rsidR="004716D1" w:rsidRDefault="004716D1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408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0"/>
        <w:gridCol w:w="4757"/>
      </w:tblGrid>
      <w:tr w:rsidR="004716D1" w14:paraId="025241C6" w14:textId="77777777">
        <w:trPr>
          <w:trHeight w:val="9188"/>
        </w:trPr>
        <w:tc>
          <w:tcPr>
            <w:tcW w:w="4760" w:type="dxa"/>
          </w:tcPr>
          <w:p w14:paraId="30F6F669" w14:textId="77777777" w:rsidR="004716D1" w:rsidRDefault="00714781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0D57F5EF" w14:textId="77777777" w:rsidR="004716D1" w:rsidRDefault="00714781">
            <w:pPr>
              <w:pStyle w:val="TableParagraph"/>
              <w:ind w:left="84" w:right="17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disturbing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 managed to prevent the release of acid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contaminants.</w:t>
            </w:r>
          </w:p>
        </w:tc>
        <w:tc>
          <w:tcPr>
            <w:tcW w:w="4760" w:type="dxa"/>
          </w:tcPr>
          <w:p w14:paraId="028298DC" w14:textId="77777777" w:rsidR="004716D1" w:rsidRDefault="00714781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672EEAE3" w14:textId="77777777" w:rsidR="004716D1" w:rsidRDefault="00714781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disturbance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acid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avoided by:</w:t>
            </w:r>
          </w:p>
          <w:p w14:paraId="0DF604CD" w14:textId="77777777" w:rsidR="004716D1" w:rsidRDefault="00714781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ind w:right="215"/>
              <w:rPr>
                <w:sz w:val="20"/>
              </w:rPr>
            </w:pPr>
            <w:r>
              <w:rPr>
                <w:sz w:val="20"/>
              </w:rPr>
              <w:t>not excavating or otherwise removing soil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sediment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soils;</w:t>
            </w:r>
          </w:p>
          <w:p w14:paraId="3222DA08" w14:textId="77777777" w:rsidR="004716D1" w:rsidRDefault="00714781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ind w:right="134"/>
              <w:rPr>
                <w:sz w:val="20"/>
              </w:rPr>
            </w:pPr>
            <w:r>
              <w:rPr>
                <w:sz w:val="20"/>
              </w:rPr>
              <w:t>not permanently or temporarily extracting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groundwater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oxygenation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saturated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soils;</w:t>
            </w:r>
          </w:p>
          <w:p w14:paraId="7E13292A" w14:textId="77777777" w:rsidR="004716D1" w:rsidRDefault="00714781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</w:p>
          <w:p w14:paraId="401F1C4E" w14:textId="77777777" w:rsidR="004716D1" w:rsidRDefault="00714781">
            <w:pPr>
              <w:pStyle w:val="TableParagraph"/>
              <w:numPr>
                <w:ilvl w:val="1"/>
                <w:numId w:val="2"/>
              </w:numPr>
              <w:tabs>
                <w:tab w:val="left" w:pos="993"/>
                <w:tab w:val="left" w:pos="994"/>
              </w:tabs>
              <w:ind w:right="500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moved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table;</w:t>
            </w:r>
          </w:p>
          <w:p w14:paraId="048DB37B" w14:textId="77777777" w:rsidR="004716D1" w:rsidRDefault="00714781">
            <w:pPr>
              <w:pStyle w:val="TableParagraph"/>
              <w:numPr>
                <w:ilvl w:val="1"/>
                <w:numId w:val="2"/>
              </w:numPr>
              <w:tabs>
                <w:tab w:val="left" w:pos="993"/>
                <w:tab w:val="left" w:pos="994"/>
              </w:tabs>
              <w:ind w:right="445"/>
              <w:rPr>
                <w:sz w:val="20"/>
              </w:rPr>
            </w:pPr>
            <w:r>
              <w:rPr>
                <w:sz w:val="20"/>
              </w:rPr>
              <w:t>previously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saturated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aerated.</w:t>
            </w:r>
          </w:p>
          <w:p w14:paraId="4B2B32AD" w14:textId="77777777" w:rsidR="004716D1" w:rsidRDefault="00714781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5343EB24" w14:textId="77777777" w:rsidR="004716D1" w:rsidRDefault="004716D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6FA0AB2D" w14:textId="77777777" w:rsidR="004716D1" w:rsidRDefault="00714781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01D3DB28" w14:textId="77777777" w:rsidR="004716D1" w:rsidRDefault="00714781">
            <w:pPr>
              <w:pStyle w:val="TableParagraph"/>
              <w:spacing w:before="1"/>
              <w:ind w:left="84" w:right="22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disturbance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soils is undertaken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 accordance with an acid sulphate soils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plan and avoids the release of acid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metal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contaminants by:</w:t>
            </w:r>
          </w:p>
          <w:p w14:paraId="378B401C" w14:textId="77777777" w:rsidR="004716D1" w:rsidRDefault="00714781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2"/>
              <w:ind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neutralising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acidity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contaminants;</w:t>
            </w:r>
          </w:p>
          <w:p w14:paraId="74273CF3" w14:textId="77777777" w:rsidR="004716D1" w:rsidRDefault="00714781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ind w:right="235"/>
              <w:rPr>
                <w:sz w:val="20"/>
              </w:rPr>
            </w:pPr>
            <w:r>
              <w:rPr>
                <w:sz w:val="20"/>
              </w:rPr>
              <w:t>preventing the release of surface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groundwater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contaminants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environment;</w:t>
            </w:r>
          </w:p>
          <w:p w14:paraId="205A31C3" w14:textId="77777777" w:rsidR="004716D1" w:rsidRDefault="00714781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ind w:right="83"/>
              <w:rPr>
                <w:sz w:val="20"/>
              </w:rPr>
            </w:pPr>
            <w:r>
              <w:rPr>
                <w:sz w:val="20"/>
              </w:rPr>
              <w:t xml:space="preserve">preventing the </w:t>
            </w:r>
            <w:proofErr w:type="gramStart"/>
            <w:r>
              <w:rPr>
                <w:sz w:val="20"/>
              </w:rPr>
              <w:t>in situ</w:t>
            </w:r>
            <w:proofErr w:type="gramEnd"/>
            <w:r>
              <w:rPr>
                <w:sz w:val="20"/>
              </w:rPr>
              <w:t xml:space="preserve"> oxidation of acid sulfate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management;</w:t>
            </w:r>
          </w:p>
          <w:p w14:paraId="3F33C681" w14:textId="77777777" w:rsidR="004716D1" w:rsidRDefault="00714781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ind w:right="616"/>
              <w:rPr>
                <w:sz w:val="20"/>
              </w:rPr>
            </w:pPr>
            <w:r>
              <w:rPr>
                <w:sz w:val="20"/>
              </w:rPr>
              <w:t>appropriately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sulphate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before disposal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occurs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40531356" w14:textId="77777777" w:rsidR="004716D1" w:rsidRDefault="00714781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ind w:right="78"/>
              <w:rPr>
                <w:sz w:val="20"/>
              </w:rPr>
            </w:pPr>
            <w:r>
              <w:rPr>
                <w:sz w:val="20"/>
              </w:rPr>
              <w:t>appropriately testing and treating waters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discharge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protect health and amenity of the receiving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environment;</w:t>
            </w:r>
          </w:p>
          <w:p w14:paraId="4E19A73A" w14:textId="77777777" w:rsidR="004716D1" w:rsidRDefault="00714781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  <w:tab w:val="left" w:pos="550"/>
              </w:tabs>
              <w:ind w:right="281"/>
              <w:rPr>
                <w:sz w:val="20"/>
              </w:rPr>
            </w:pPr>
            <w:r>
              <w:rPr>
                <w:sz w:val="20"/>
              </w:rPr>
              <w:t>identifying risks and providing prescriptive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guidance on what constitutes 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conformance.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testing, treatment, validation and reporting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regimes with non-conformances linked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prescriptive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remedial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reporting.</w:t>
            </w:r>
          </w:p>
        </w:tc>
        <w:tc>
          <w:tcPr>
            <w:tcW w:w="4757" w:type="dxa"/>
          </w:tcPr>
          <w:p w14:paraId="493145DE" w14:textId="77777777" w:rsidR="004716D1" w:rsidRDefault="00471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8B20087" w14:textId="77777777" w:rsidR="004716D1" w:rsidRDefault="004716D1">
      <w:pPr>
        <w:rPr>
          <w:rFonts w:ascii="Times New Roman"/>
          <w:sz w:val="18"/>
        </w:rPr>
        <w:sectPr w:rsidR="004716D1">
          <w:headerReference w:type="default" r:id="rId10"/>
          <w:footerReference w:type="default" r:id="rId11"/>
          <w:pgSz w:w="16840" w:h="11910" w:orient="landscape"/>
          <w:pgMar w:top="1040" w:right="1020" w:bottom="840" w:left="1020" w:header="611" w:footer="648" w:gutter="0"/>
          <w:pgNumType w:start="299"/>
          <w:cols w:space="720"/>
        </w:sectPr>
      </w:pPr>
    </w:p>
    <w:p w14:paraId="4FCB0C58" w14:textId="77777777" w:rsidR="004716D1" w:rsidRDefault="004716D1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9"/>
        <w:gridCol w:w="4757"/>
      </w:tblGrid>
      <w:tr w:rsidR="004716D1" w14:paraId="38AB8F64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BA55985" w14:textId="77777777" w:rsidR="004716D1" w:rsidRDefault="00714781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1681D14" w14:textId="77777777" w:rsidR="004716D1" w:rsidRDefault="00714781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2307956" w14:textId="77777777" w:rsidR="004716D1" w:rsidRDefault="00714781">
            <w:pPr>
              <w:pStyle w:val="TableParagraph"/>
              <w:spacing w:before="95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716D1" w14:paraId="49F05EAC" w14:textId="77777777">
        <w:trPr>
          <w:trHeight w:val="1223"/>
        </w:trPr>
        <w:tc>
          <w:tcPr>
            <w:tcW w:w="4760" w:type="dxa"/>
          </w:tcPr>
          <w:p w14:paraId="28A8BD2E" w14:textId="77777777" w:rsidR="004716D1" w:rsidRDefault="00471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9" w:type="dxa"/>
          </w:tcPr>
          <w:p w14:paraId="6C6E5CFC" w14:textId="77777777" w:rsidR="004716D1" w:rsidRDefault="00714781">
            <w:pPr>
              <w:pStyle w:val="TableParagraph"/>
              <w:spacing w:before="81"/>
              <w:ind w:left="571" w:right="429"/>
              <w:rPr>
                <w:sz w:val="20"/>
              </w:rPr>
            </w:pPr>
            <w:r>
              <w:rPr>
                <w:sz w:val="20"/>
              </w:rPr>
              <w:t>Contingency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 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periods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weather.</w:t>
            </w:r>
          </w:p>
          <w:p w14:paraId="60F21021" w14:textId="77777777" w:rsidR="004716D1" w:rsidRDefault="004716D1">
            <w:pPr>
              <w:pStyle w:val="TableParagraph"/>
              <w:ind w:left="0"/>
              <w:rPr>
                <w:b/>
                <w:sz w:val="20"/>
              </w:rPr>
            </w:pPr>
          </w:p>
          <w:p w14:paraId="4161A113" w14:textId="77777777" w:rsidR="004716D1" w:rsidRDefault="007147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Note – Planning scheme policy - Acid sulfate soils </w:t>
            </w:r>
            <w:proofErr w:type="gramStart"/>
            <w:r>
              <w:rPr>
                <w:sz w:val="16"/>
              </w:rPr>
              <w:t>provides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sulfate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soils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plan.</w:t>
            </w:r>
          </w:p>
        </w:tc>
        <w:tc>
          <w:tcPr>
            <w:tcW w:w="4757" w:type="dxa"/>
          </w:tcPr>
          <w:p w14:paraId="596D1CA2" w14:textId="77777777" w:rsidR="004716D1" w:rsidRDefault="00471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6D1" w14:paraId="6A037A99" w14:textId="77777777">
        <w:trPr>
          <w:trHeight w:val="1092"/>
        </w:trPr>
        <w:tc>
          <w:tcPr>
            <w:tcW w:w="4760" w:type="dxa"/>
          </w:tcPr>
          <w:p w14:paraId="256CD4F0" w14:textId="77777777" w:rsidR="004716D1" w:rsidRDefault="00714781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5B31B69B" w14:textId="77777777" w:rsidR="004716D1" w:rsidRDefault="00714781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No environmental harm is caused as a result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oxidation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soils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contaminants.</w:t>
            </w:r>
          </w:p>
        </w:tc>
        <w:tc>
          <w:tcPr>
            <w:tcW w:w="4759" w:type="dxa"/>
          </w:tcPr>
          <w:p w14:paraId="1D3733B9" w14:textId="77777777" w:rsidR="004716D1" w:rsidRDefault="00714781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69C80AC2" w14:textId="77777777" w:rsidR="004716D1" w:rsidRDefault="007147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57" w:type="dxa"/>
          </w:tcPr>
          <w:p w14:paraId="3A51AA6A" w14:textId="77777777" w:rsidR="004716D1" w:rsidRDefault="00471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2833479" w14:textId="77777777" w:rsidR="009F1AEE" w:rsidRDefault="009F1AEE"/>
    <w:sectPr w:rsidR="009F1AEE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7081" w14:textId="77777777" w:rsidR="009F1AEE" w:rsidRDefault="00714781">
      <w:r>
        <w:separator/>
      </w:r>
    </w:p>
  </w:endnote>
  <w:endnote w:type="continuationSeparator" w:id="0">
    <w:p w14:paraId="24D13609" w14:textId="77777777" w:rsidR="009F1AEE" w:rsidRDefault="0071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F117" w14:textId="77777777" w:rsidR="004716D1" w:rsidRDefault="0071478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2608" behindDoc="1" locked="0" layoutInCell="1" allowOverlap="1" wp14:anchorId="2151CF0C" wp14:editId="5A80B36F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EAE">
      <w:pict w14:anchorId="16708C6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68.2pt;margin-top:547.9pt;width:104pt;height:20.25pt;z-index:-15823360;mso-position-horizontal-relative:page;mso-position-vertical-relative:page" filled="f" stroked="f">
          <v:textbox inset="0,0,0,0">
            <w:txbxContent>
              <w:p w14:paraId="5DB51AF8" w14:textId="3FFDE2F7" w:rsidR="004716D1" w:rsidRDefault="00714781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7D88EAA" w14:textId="6E6E0649" w:rsidR="004716D1" w:rsidRDefault="00714781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E1ED" w14:textId="77777777" w:rsidR="004716D1" w:rsidRDefault="0071478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4144" behindDoc="1" locked="0" layoutInCell="1" allowOverlap="1" wp14:anchorId="5621245C" wp14:editId="507CC45F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4656" behindDoc="1" locked="0" layoutInCell="1" allowOverlap="1" wp14:anchorId="5D866061" wp14:editId="072C4A59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EAE">
      <w:pict w14:anchorId="492CFB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15821312;mso-position-horizontal-relative:page;mso-position-vertical-relative:page" filled="f" stroked="f">
          <v:textbox inset="0,0,0,0">
            <w:txbxContent>
              <w:p w14:paraId="1CF01873" w14:textId="2E646E11" w:rsidR="004716D1" w:rsidRDefault="00714781">
                <w:pPr>
                  <w:spacing w:before="15"/>
                  <w:ind w:right="55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41E6A42E" w14:textId="0F74076D" w:rsidR="004716D1" w:rsidRDefault="00714781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33E9" w14:textId="77777777" w:rsidR="009F1AEE" w:rsidRDefault="00714781">
      <w:r>
        <w:separator/>
      </w:r>
    </w:p>
  </w:footnote>
  <w:footnote w:type="continuationSeparator" w:id="0">
    <w:p w14:paraId="63022736" w14:textId="77777777" w:rsidR="009F1AEE" w:rsidRDefault="0071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AF7F" w14:textId="77777777" w:rsidR="004716D1" w:rsidRDefault="0071478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2096" behindDoc="1" locked="0" layoutInCell="1" allowOverlap="1" wp14:anchorId="53F4FC9B" wp14:editId="788BABFC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2B1A" w14:textId="77777777" w:rsidR="004716D1" w:rsidRDefault="0071478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3632" behindDoc="1" locked="0" layoutInCell="1" allowOverlap="1" wp14:anchorId="76C64405" wp14:editId="2F2C6B67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FF6"/>
    <w:multiLevelType w:val="hybridMultilevel"/>
    <w:tmpl w:val="D1540D26"/>
    <w:lvl w:ilvl="0" w:tplc="CF2C7C38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30CC462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9D2874E6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0CEAB384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6A42F212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50123C98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EE1C6A80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3CA25F0A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5BAEA9DA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1" w15:restartNumberingAfterBreak="0">
    <w:nsid w:val="31345F79"/>
    <w:multiLevelType w:val="hybridMultilevel"/>
    <w:tmpl w:val="D3FC2712"/>
    <w:lvl w:ilvl="0" w:tplc="675A879A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3BC7A16">
      <w:start w:val="1"/>
      <w:numFmt w:val="lowerRoman"/>
      <w:lvlText w:val="(%2)"/>
      <w:lvlJc w:val="left"/>
      <w:pPr>
        <w:ind w:left="993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4726F1E">
      <w:numFmt w:val="bullet"/>
      <w:lvlText w:val="•"/>
      <w:lvlJc w:val="left"/>
      <w:pPr>
        <w:ind w:left="1416" w:hanging="425"/>
      </w:pPr>
      <w:rPr>
        <w:rFonts w:hint="default"/>
      </w:rPr>
    </w:lvl>
    <w:lvl w:ilvl="3" w:tplc="66809B92">
      <w:numFmt w:val="bullet"/>
      <w:lvlText w:val="•"/>
      <w:lvlJc w:val="left"/>
      <w:pPr>
        <w:ind w:left="1833" w:hanging="425"/>
      </w:pPr>
      <w:rPr>
        <w:rFonts w:hint="default"/>
      </w:rPr>
    </w:lvl>
    <w:lvl w:ilvl="4" w:tplc="DD30F8AC">
      <w:numFmt w:val="bullet"/>
      <w:lvlText w:val="•"/>
      <w:lvlJc w:val="left"/>
      <w:pPr>
        <w:ind w:left="2250" w:hanging="425"/>
      </w:pPr>
      <w:rPr>
        <w:rFonts w:hint="default"/>
      </w:rPr>
    </w:lvl>
    <w:lvl w:ilvl="5" w:tplc="8976E308">
      <w:numFmt w:val="bullet"/>
      <w:lvlText w:val="•"/>
      <w:lvlJc w:val="left"/>
      <w:pPr>
        <w:ind w:left="2666" w:hanging="425"/>
      </w:pPr>
      <w:rPr>
        <w:rFonts w:hint="default"/>
      </w:rPr>
    </w:lvl>
    <w:lvl w:ilvl="6" w:tplc="4E709E58">
      <w:numFmt w:val="bullet"/>
      <w:lvlText w:val="•"/>
      <w:lvlJc w:val="left"/>
      <w:pPr>
        <w:ind w:left="3083" w:hanging="425"/>
      </w:pPr>
      <w:rPr>
        <w:rFonts w:hint="default"/>
      </w:rPr>
    </w:lvl>
    <w:lvl w:ilvl="7" w:tplc="23862070">
      <w:numFmt w:val="bullet"/>
      <w:lvlText w:val="•"/>
      <w:lvlJc w:val="left"/>
      <w:pPr>
        <w:ind w:left="3500" w:hanging="425"/>
      </w:pPr>
      <w:rPr>
        <w:rFonts w:hint="default"/>
      </w:rPr>
    </w:lvl>
    <w:lvl w:ilvl="8" w:tplc="D8D4D320">
      <w:numFmt w:val="bullet"/>
      <w:lvlText w:val="•"/>
      <w:lvlJc w:val="left"/>
      <w:pPr>
        <w:ind w:left="3916" w:hanging="425"/>
      </w:pPr>
      <w:rPr>
        <w:rFonts w:hint="default"/>
      </w:rPr>
    </w:lvl>
  </w:abstractNum>
  <w:abstractNum w:abstractNumId="2" w15:restartNumberingAfterBreak="0">
    <w:nsid w:val="4F510FAF"/>
    <w:multiLevelType w:val="multilevel"/>
    <w:tmpl w:val="58A29ACA"/>
    <w:lvl w:ilvl="0">
      <w:start w:val="8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3" w15:restartNumberingAfterBreak="0">
    <w:nsid w:val="5F2B4C7C"/>
    <w:multiLevelType w:val="hybridMultilevel"/>
    <w:tmpl w:val="EB3E3BA6"/>
    <w:lvl w:ilvl="0" w:tplc="B278567A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0E8AC68">
      <w:numFmt w:val="bullet"/>
      <w:lvlText w:val="•"/>
      <w:lvlJc w:val="left"/>
      <w:pPr>
        <w:ind w:left="979" w:hanging="485"/>
      </w:pPr>
      <w:rPr>
        <w:rFonts w:hint="default"/>
      </w:rPr>
    </w:lvl>
    <w:lvl w:ilvl="2" w:tplc="A45E2FBC">
      <w:numFmt w:val="bullet"/>
      <w:lvlText w:val="•"/>
      <w:lvlJc w:val="left"/>
      <w:pPr>
        <w:ind w:left="1398" w:hanging="485"/>
      </w:pPr>
      <w:rPr>
        <w:rFonts w:hint="default"/>
      </w:rPr>
    </w:lvl>
    <w:lvl w:ilvl="3" w:tplc="C1825486">
      <w:numFmt w:val="bullet"/>
      <w:lvlText w:val="•"/>
      <w:lvlJc w:val="left"/>
      <w:pPr>
        <w:ind w:left="1817" w:hanging="485"/>
      </w:pPr>
      <w:rPr>
        <w:rFonts w:hint="default"/>
      </w:rPr>
    </w:lvl>
    <w:lvl w:ilvl="4" w:tplc="2AA8F1CE">
      <w:numFmt w:val="bullet"/>
      <w:lvlText w:val="•"/>
      <w:lvlJc w:val="left"/>
      <w:pPr>
        <w:ind w:left="2236" w:hanging="485"/>
      </w:pPr>
      <w:rPr>
        <w:rFonts w:hint="default"/>
      </w:rPr>
    </w:lvl>
    <w:lvl w:ilvl="5" w:tplc="FCB2D0D0">
      <w:numFmt w:val="bullet"/>
      <w:lvlText w:val="•"/>
      <w:lvlJc w:val="left"/>
      <w:pPr>
        <w:ind w:left="2655" w:hanging="485"/>
      </w:pPr>
      <w:rPr>
        <w:rFonts w:hint="default"/>
      </w:rPr>
    </w:lvl>
    <w:lvl w:ilvl="6" w:tplc="5316CA1A">
      <w:numFmt w:val="bullet"/>
      <w:lvlText w:val="•"/>
      <w:lvlJc w:val="left"/>
      <w:pPr>
        <w:ind w:left="3074" w:hanging="485"/>
      </w:pPr>
      <w:rPr>
        <w:rFonts w:hint="default"/>
      </w:rPr>
    </w:lvl>
    <w:lvl w:ilvl="7" w:tplc="ED72BBFE">
      <w:numFmt w:val="bullet"/>
      <w:lvlText w:val="•"/>
      <w:lvlJc w:val="left"/>
      <w:pPr>
        <w:ind w:left="3493" w:hanging="485"/>
      </w:pPr>
      <w:rPr>
        <w:rFonts w:hint="default"/>
      </w:rPr>
    </w:lvl>
    <w:lvl w:ilvl="8" w:tplc="B8DE90F4">
      <w:numFmt w:val="bullet"/>
      <w:lvlText w:val="•"/>
      <w:lvlJc w:val="left"/>
      <w:pPr>
        <w:ind w:left="3912" w:hanging="48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6D1"/>
    <w:rsid w:val="004716D1"/>
    <w:rsid w:val="006A2EAE"/>
    <w:rsid w:val="00714781"/>
    <w:rsid w:val="009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B83A3"/>
  <w15:docId w15:val="{0AD6BCE1-4544-4B8B-B437-DFE6462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5" w:hanging="854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714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7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4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7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2021-10-14T05:18:00Z</dcterms:created>
  <dcterms:modified xsi:type="dcterms:W3CDTF">2022-07-05T03:12:00Z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