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4" w:rsidRPr="005A77FA" w:rsidRDefault="00A91E54" w:rsidP="00B546A2">
      <w:pPr>
        <w:pStyle w:val="Heading3"/>
      </w:pPr>
      <w:r>
        <w:t>Transport network overlay code</w:t>
      </w:r>
    </w:p>
    <w:p w:rsidR="00A91E54" w:rsidRPr="005A77FA" w:rsidRDefault="00A91E54" w:rsidP="00A91E54">
      <w:pPr>
        <w:pStyle w:val="Heading4"/>
      </w:pPr>
      <w:r w:rsidRPr="005A77FA">
        <w:t>Application</w:t>
      </w:r>
    </w:p>
    <w:p w:rsidR="00C4013E" w:rsidRDefault="00C4013E" w:rsidP="007C54B7">
      <w:pPr>
        <w:spacing w:after="0"/>
      </w:pPr>
      <w:r w:rsidRPr="00CC6406">
        <w:t xml:space="preserve">This code applies to </w:t>
      </w:r>
      <w:r w:rsidRPr="00094B79">
        <w:t xml:space="preserve">assessing </w:t>
      </w:r>
      <w:r>
        <w:t xml:space="preserve">development </w:t>
      </w:r>
      <w:r w:rsidR="00A4741F">
        <w:t xml:space="preserve">identified in Part 5 as requiring assessment against </w:t>
      </w:r>
      <w:r>
        <w:t>the Transport network overlay</w:t>
      </w:r>
      <w:r w:rsidR="00A4741F">
        <w:t xml:space="preserve"> code</w:t>
      </w:r>
      <w:r>
        <w:t xml:space="preserve">. </w:t>
      </w:r>
    </w:p>
    <w:p w:rsidR="00744BF3" w:rsidRDefault="00744BF3" w:rsidP="007C54B7">
      <w:pPr>
        <w:spacing w:after="0"/>
      </w:pPr>
    </w:p>
    <w:p w:rsidR="00A91E54" w:rsidRDefault="00A91E54" w:rsidP="007C54B7">
      <w:pPr>
        <w:autoSpaceDE w:val="0"/>
        <w:autoSpaceDN w:val="0"/>
        <w:adjustRightInd w:val="0"/>
        <w:spacing w:after="0"/>
        <w:rPr>
          <w:rFonts w:cs="Arial"/>
          <w:szCs w:val="20"/>
        </w:rPr>
      </w:pPr>
      <w:r>
        <w:rPr>
          <w:rFonts w:cs="Arial"/>
          <w:szCs w:val="20"/>
        </w:rPr>
        <w:t>When using this code, reference should be made to Part 5.</w:t>
      </w:r>
    </w:p>
    <w:p w:rsidR="00A91E54" w:rsidRPr="005A77FA" w:rsidRDefault="00A91E54" w:rsidP="00A91E54">
      <w:pPr>
        <w:pStyle w:val="Heading4"/>
      </w:pPr>
      <w:r w:rsidRPr="005A77FA">
        <w:t xml:space="preserve">Purpose </w:t>
      </w:r>
    </w:p>
    <w:p w:rsidR="00D41843" w:rsidRPr="00D41843" w:rsidRDefault="00A91E54" w:rsidP="005B2418">
      <w:pPr>
        <w:pStyle w:val="ListParagraph"/>
        <w:numPr>
          <w:ilvl w:val="0"/>
          <w:numId w:val="135"/>
        </w:numPr>
        <w:ind w:left="567" w:hanging="567"/>
      </w:pPr>
      <w:r>
        <w:t xml:space="preserve">The purpose of the Transport network overlay code is to ensure that development provides transport infrastructure that supports a safe, efficient transport network, including the active transport network. </w:t>
      </w:r>
    </w:p>
    <w:p w:rsidR="00A91E54" w:rsidRDefault="00A91E54" w:rsidP="00A91E54">
      <w:pPr>
        <w:pStyle w:val="ListParagraph"/>
        <w:ind w:left="567"/>
      </w:pPr>
      <w:bookmarkStart w:id="0" w:name="_GoBack"/>
      <w:bookmarkEnd w:id="0"/>
    </w:p>
    <w:p w:rsidR="00A91E54" w:rsidRDefault="00A91E54" w:rsidP="005B2418">
      <w:pPr>
        <w:pStyle w:val="ListParagraph"/>
        <w:numPr>
          <w:ilvl w:val="0"/>
          <w:numId w:val="135"/>
        </w:numPr>
        <w:ind w:left="567" w:hanging="567"/>
      </w:pPr>
      <w:r>
        <w:t>The purpose of the code will be achieved through the following overall outcomes:</w:t>
      </w:r>
    </w:p>
    <w:p w:rsidR="00A91E54" w:rsidRDefault="003A3A0D" w:rsidP="00A91E54">
      <w:pPr>
        <w:pStyle w:val="ListParagraph"/>
        <w:numPr>
          <w:ilvl w:val="1"/>
          <w:numId w:val="27"/>
        </w:numPr>
      </w:pPr>
      <w:r>
        <w:t>d</w:t>
      </w:r>
      <w:r w:rsidR="00A91E54">
        <w:t xml:space="preserve">evelopment provides for </w:t>
      </w:r>
      <w:r w:rsidR="00A91E54" w:rsidRPr="000F3D1D">
        <w:t>transport infrastructure</w:t>
      </w:r>
      <w:r w:rsidR="00A91E54">
        <w:t xml:space="preserve"> (including active transport infrastructure);</w:t>
      </w:r>
    </w:p>
    <w:p w:rsidR="00A91E54" w:rsidRDefault="003A3A0D" w:rsidP="00A91E54">
      <w:pPr>
        <w:pStyle w:val="ListParagraph"/>
        <w:numPr>
          <w:ilvl w:val="1"/>
          <w:numId w:val="27"/>
        </w:numPr>
      </w:pPr>
      <w:r>
        <w:t>d</w:t>
      </w:r>
      <w:r w:rsidR="00A91E54">
        <w:t>evelopment contributes to a safe and efficient transport network;</w:t>
      </w:r>
    </w:p>
    <w:p w:rsidR="00A91E54" w:rsidRPr="00F60CEF" w:rsidRDefault="003A3A0D" w:rsidP="00A91E54">
      <w:pPr>
        <w:pStyle w:val="ListParagraph"/>
        <w:numPr>
          <w:ilvl w:val="1"/>
          <w:numId w:val="27"/>
        </w:numPr>
      </w:pPr>
      <w:r>
        <w:t>d</w:t>
      </w:r>
      <w:r w:rsidR="00A91E54">
        <w:t xml:space="preserve">evelopment supports the existing and future role and function of the transport network; </w:t>
      </w:r>
    </w:p>
    <w:p w:rsidR="00A91E54" w:rsidRPr="007869B1" w:rsidRDefault="003A3A0D" w:rsidP="00A91E54">
      <w:pPr>
        <w:pStyle w:val="ListParagraph"/>
        <w:numPr>
          <w:ilvl w:val="1"/>
          <w:numId w:val="27"/>
        </w:numPr>
      </w:pPr>
      <w:r>
        <w:t>d</w:t>
      </w:r>
      <w:r w:rsidR="00A91E54">
        <w:t xml:space="preserve">evelopment </w:t>
      </w:r>
      <w:r w:rsidR="00A91E54" w:rsidRPr="00A91E54">
        <w:rPr>
          <w:rFonts w:ascii="ArialMT" w:hAnsi="ArialMT" w:cs="ArialMT"/>
        </w:rPr>
        <w:t>does not compromise the</w:t>
      </w:r>
      <w:r w:rsidR="00A91E54" w:rsidRPr="007869B1">
        <w:t xml:space="preserve"> </w:t>
      </w:r>
      <w:r w:rsidR="00A91E54" w:rsidRPr="00A91E54">
        <w:rPr>
          <w:rFonts w:ascii="ArialMT" w:hAnsi="ArialMT" w:cs="ArialMT"/>
        </w:rPr>
        <w:t xml:space="preserve">safety and efficiency of </w:t>
      </w:r>
      <w:r w:rsidR="00A91E54" w:rsidRPr="00C4013E">
        <w:rPr>
          <w:rFonts w:ascii="ArialMT" w:hAnsi="ArialMT" w:cs="ArialMT"/>
        </w:rPr>
        <w:t>major tran</w:t>
      </w:r>
      <w:r w:rsidR="00A91E54" w:rsidRPr="009D7AA0">
        <w:rPr>
          <w:rFonts w:ascii="ArialMT" w:hAnsi="ArialMT" w:cs="ArialMT"/>
        </w:rPr>
        <w:t>sport infrastructure and facilities</w:t>
      </w:r>
      <w:r w:rsidR="00A91E54" w:rsidRPr="00F50B8F">
        <w:rPr>
          <w:rFonts w:ascii="ArialMT" w:hAnsi="ArialMT" w:cs="ArialMT"/>
        </w:rPr>
        <w:t>.</w:t>
      </w:r>
    </w:p>
    <w:p w:rsidR="00A91E54" w:rsidRPr="005A77FA" w:rsidRDefault="00A91E54" w:rsidP="00A91E54">
      <w:pPr>
        <w:pStyle w:val="Heading4"/>
      </w:pPr>
      <w:bookmarkStart w:id="1" w:name="_Ref365532449"/>
      <w:r>
        <w:t>Criteria for a</w:t>
      </w:r>
      <w:r w:rsidRPr="005A77FA">
        <w:t>ssessment</w:t>
      </w:r>
      <w:bookmarkEnd w:id="1"/>
      <w:r w:rsidRPr="005A77FA">
        <w:t xml:space="preserve"> </w:t>
      </w:r>
    </w:p>
    <w:p w:rsidR="00A91E54" w:rsidRPr="00BF128E" w:rsidRDefault="00A91E54" w:rsidP="00A91E54">
      <w:pPr>
        <w:spacing w:after="0" w:line="240" w:lineRule="auto"/>
        <w:rPr>
          <w:rFonts w:ascii="Arial" w:eastAsia="Times New Roman" w:hAnsi="Arial" w:cs="Arial"/>
          <w:szCs w:val="20"/>
        </w:rPr>
      </w:pPr>
      <w:r w:rsidRPr="00BF128E">
        <w:rPr>
          <w:rFonts w:ascii="Arial" w:eastAsia="Times New Roman" w:hAnsi="Arial" w:cs="Arial"/>
          <w:szCs w:val="20"/>
        </w:rPr>
        <w:t xml:space="preserve">Part A </w:t>
      </w:r>
      <w:r>
        <w:rPr>
          <w:rFonts w:ascii="Arial" w:eastAsia="Times New Roman" w:hAnsi="Arial" w:cs="Arial"/>
          <w:szCs w:val="20"/>
        </w:rPr>
        <w:t>–</w:t>
      </w:r>
      <w:r w:rsidRPr="00BF128E">
        <w:rPr>
          <w:rFonts w:ascii="Arial" w:eastAsia="Times New Roman" w:hAnsi="Arial" w:cs="Arial"/>
          <w:szCs w:val="20"/>
        </w:rPr>
        <w:t xml:space="preserve"> Criteria</w:t>
      </w:r>
      <w:r>
        <w:rPr>
          <w:rFonts w:ascii="Arial" w:eastAsia="Times New Roman" w:hAnsi="Arial" w:cs="Arial"/>
          <w:szCs w:val="20"/>
        </w:rPr>
        <w:t xml:space="preserve"> </w:t>
      </w:r>
      <w:r w:rsidRPr="00BF128E">
        <w:rPr>
          <w:rFonts w:ascii="Arial" w:eastAsia="Times New Roman" w:hAnsi="Arial" w:cs="Arial"/>
          <w:szCs w:val="20"/>
        </w:rPr>
        <w:t>assessable development</w:t>
      </w:r>
    </w:p>
    <w:p w:rsidR="00A91E54" w:rsidRPr="005A77FA" w:rsidRDefault="00A91E54" w:rsidP="00A91E54">
      <w:pPr>
        <w:spacing w:after="0" w:line="240" w:lineRule="auto"/>
        <w:rPr>
          <w:rFonts w:ascii="Arial" w:eastAsia="Times New Roman" w:hAnsi="Arial" w:cs="Arial"/>
          <w:szCs w:val="20"/>
        </w:rPr>
      </w:pPr>
    </w:p>
    <w:p w:rsidR="00A91E54" w:rsidRPr="005A77FA" w:rsidRDefault="00A91E54" w:rsidP="00A91E54">
      <w:pPr>
        <w:pStyle w:val="Caption"/>
      </w:pPr>
      <w:r>
        <w:t xml:space="preserve">Table </w:t>
      </w:r>
      <w:r>
        <w:fldChar w:fldCharType="begin"/>
      </w:r>
      <w:r>
        <w:instrText xml:space="preserve"> REF _Ref365532449 \r \h </w:instrText>
      </w:r>
      <w:r>
        <w:fldChar w:fldCharType="separate"/>
      </w:r>
      <w:r w:rsidR="004D4DD1">
        <w:t>8.2.15.3</w:t>
      </w:r>
      <w:r>
        <w:fldChar w:fldCharType="end"/>
      </w:r>
      <w:r>
        <w:t>.a</w:t>
      </w:r>
      <w:r w:rsidRPr="005A77FA">
        <w:t xml:space="preserve"> </w:t>
      </w:r>
      <w:r>
        <w:t>– Transport network overlay code –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B546A2" w:rsidRPr="005A77FA" w:rsidTr="00B546A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B546A2" w:rsidRPr="005A77FA" w:rsidRDefault="00B546A2" w:rsidP="00E84110">
            <w:pPr>
              <w:tabs>
                <w:tab w:val="left" w:pos="2745"/>
              </w:tabs>
            </w:pPr>
            <w:r w:rsidRPr="005A77FA">
              <w:t>Performance outcomes</w:t>
            </w:r>
          </w:p>
        </w:tc>
        <w:tc>
          <w:tcPr>
            <w:tcW w:w="1667" w:type="pct"/>
            <w:tcBorders>
              <w:top w:val="single" w:sz="4" w:space="0" w:color="A5A5A5" w:themeColor="accent3"/>
              <w:bottom w:val="single" w:sz="4" w:space="0" w:color="A5A5A5" w:themeColor="accent3"/>
            </w:tcBorders>
          </w:tcPr>
          <w:p w:rsidR="00B546A2" w:rsidRPr="005A77FA" w:rsidRDefault="00B546A2" w:rsidP="00E84110">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B546A2" w:rsidRPr="005A77FA" w:rsidRDefault="00B546A2" w:rsidP="00E84110">
            <w:r>
              <w:t>Applicant response</w:t>
            </w:r>
          </w:p>
        </w:tc>
      </w:tr>
      <w:tr w:rsidR="00B546A2" w:rsidRPr="00621988"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546A2" w:rsidRPr="00C17E97" w:rsidRDefault="00B546A2" w:rsidP="00C17E97">
            <w:pPr>
              <w:rPr>
                <w:rFonts w:cstheme="minorHAnsi"/>
                <w:b/>
                <w:szCs w:val="20"/>
              </w:rPr>
            </w:pPr>
            <w:r w:rsidRPr="00C17E97">
              <w:rPr>
                <w:rFonts w:cstheme="minorHAnsi"/>
                <w:b/>
                <w:szCs w:val="20"/>
              </w:rPr>
              <w:t>For assessable development</w:t>
            </w:r>
          </w:p>
        </w:tc>
      </w:tr>
      <w:tr w:rsidR="00B546A2" w:rsidRPr="002C79EE" w:rsidTr="00B546A2">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546A2" w:rsidRPr="00C17E97" w:rsidRDefault="00B546A2" w:rsidP="00C17E97">
            <w:pPr>
              <w:rPr>
                <w:rStyle w:val="Strong"/>
                <w:rFonts w:cstheme="minorHAnsi"/>
                <w:szCs w:val="20"/>
              </w:rPr>
            </w:pPr>
            <w:r w:rsidRPr="00C17E97">
              <w:rPr>
                <w:rStyle w:val="Strong"/>
                <w:rFonts w:cstheme="minorHAnsi"/>
                <w:szCs w:val="20"/>
              </w:rPr>
              <w:t>Road hierarchy</w:t>
            </w: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shd w:val="clear" w:color="auto" w:fill="auto"/>
          </w:tcPr>
          <w:p w:rsidR="00B546A2" w:rsidRPr="00C17E97" w:rsidRDefault="00B546A2" w:rsidP="00C17E97">
            <w:pPr>
              <w:jc w:val="both"/>
              <w:rPr>
                <w:rFonts w:cstheme="minorHAnsi"/>
                <w:b/>
                <w:szCs w:val="20"/>
              </w:rPr>
            </w:pPr>
            <w:r w:rsidRPr="00C17E97">
              <w:rPr>
                <w:rFonts w:cstheme="minorHAnsi"/>
                <w:b/>
                <w:szCs w:val="20"/>
              </w:rPr>
              <w:t>PO1</w:t>
            </w:r>
          </w:p>
          <w:p w:rsidR="00B546A2" w:rsidRPr="00C17E97" w:rsidRDefault="00B546A2" w:rsidP="00C17E97">
            <w:pPr>
              <w:shd w:val="clear" w:color="auto" w:fill="FFFFFF"/>
              <w:rPr>
                <w:rFonts w:cstheme="minorHAnsi"/>
                <w:szCs w:val="20"/>
              </w:rPr>
            </w:pPr>
            <w:r w:rsidRPr="00C17E97">
              <w:rPr>
                <w:rFonts w:cstheme="minorHAnsi"/>
                <w:szCs w:val="20"/>
              </w:rPr>
              <w:t xml:space="preserve">Development supports the road hierarchy for the region. </w:t>
            </w:r>
          </w:p>
          <w:p w:rsidR="00B546A2" w:rsidRPr="00C17E97" w:rsidRDefault="00B546A2" w:rsidP="00C17E97">
            <w:pPr>
              <w:shd w:val="clear" w:color="auto" w:fill="FFFFFF"/>
              <w:rPr>
                <w:rFonts w:cstheme="minorHAnsi"/>
                <w:szCs w:val="20"/>
              </w:rPr>
            </w:pPr>
          </w:p>
          <w:p w:rsidR="00B546A2" w:rsidRPr="00C17E97" w:rsidRDefault="00B546A2" w:rsidP="00C17E97">
            <w:pPr>
              <w:shd w:val="clear" w:color="auto" w:fill="FFFFFF"/>
              <w:rPr>
                <w:rFonts w:eastAsiaTheme="minorEastAsia" w:cstheme="minorHAnsi"/>
                <w:spacing w:val="-5"/>
                <w:sz w:val="16"/>
                <w:szCs w:val="16"/>
                <w:lang w:eastAsia="en-AU"/>
              </w:rPr>
            </w:pPr>
            <w:r w:rsidRPr="00C17E97">
              <w:rPr>
                <w:rFonts w:cstheme="minorHAnsi"/>
                <w:sz w:val="16"/>
                <w:szCs w:val="16"/>
                <w:lang w:val="en-GB"/>
              </w:rPr>
              <w:t xml:space="preserve">Note – </w:t>
            </w:r>
            <w:r w:rsidRPr="00C17E97">
              <w:rPr>
                <w:rFonts w:cstheme="minorHAnsi"/>
                <w:spacing w:val="-5"/>
                <w:sz w:val="16"/>
                <w:szCs w:val="16"/>
              </w:rPr>
              <w:t xml:space="preserve">A Traffic impact assessment report prepared in accordance with Planning scheme policy - Parking and access is one way to demonstrate achievement of the Performance Outcomes. </w:t>
            </w:r>
          </w:p>
        </w:tc>
        <w:tc>
          <w:tcPr>
            <w:tcW w:w="1667" w:type="pct"/>
            <w:shd w:val="clear" w:color="auto" w:fill="auto"/>
          </w:tcPr>
          <w:p w:rsidR="00B546A2" w:rsidRPr="00C17E97" w:rsidRDefault="00B546A2" w:rsidP="00C17E97">
            <w:pPr>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AO1.1</w:t>
            </w:r>
          </w:p>
          <w:p w:rsidR="00B546A2" w:rsidRPr="00C17E97" w:rsidRDefault="00B546A2" w:rsidP="00C17E97">
            <w:pPr>
              <w:shd w:val="clear" w:color="auto" w:fill="FFFFFF"/>
              <w:cnfStyle w:val="000000100000" w:firstRow="0" w:lastRow="0" w:firstColumn="0" w:lastColumn="0" w:oddVBand="0" w:evenVBand="0" w:oddHBand="1" w:evenHBand="0" w:firstRowFirstColumn="0" w:firstRowLastColumn="0" w:lastRowFirstColumn="0" w:lastRowLastColumn="0"/>
              <w:rPr>
                <w:rFonts w:eastAsiaTheme="minorEastAsia" w:cstheme="minorHAnsi"/>
                <w:szCs w:val="20"/>
                <w:lang w:eastAsia="en-AU"/>
              </w:rPr>
            </w:pPr>
            <w:r w:rsidRPr="00C17E97">
              <w:rPr>
                <w:rFonts w:cstheme="minorHAnsi"/>
                <w:szCs w:val="20"/>
              </w:rPr>
              <w:t xml:space="preserve">Development is compatible with the intended role and function of the existing and future transport network as identified on the Transport network overlay maps contained in Schedule 2. </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rPr>
                <w:rFonts w:cstheme="minorHAnsi"/>
                <w:b/>
                <w:szCs w:val="20"/>
              </w:rPr>
            </w:pPr>
          </w:p>
        </w:tc>
      </w:tr>
      <w:tr w:rsidR="00B546A2" w:rsidRPr="005A77FA" w:rsidTr="00B546A2">
        <w:tc>
          <w:tcPr>
            <w:cnfStyle w:val="000010000000" w:firstRow="0" w:lastRow="0" w:firstColumn="0" w:lastColumn="0" w:oddVBand="1" w:evenVBand="0" w:oddHBand="0" w:evenHBand="0" w:firstRowFirstColumn="0" w:firstRowLastColumn="0" w:lastRowFirstColumn="0" w:lastRowLastColumn="0"/>
            <w:tcW w:w="1667" w:type="pct"/>
            <w:vMerge/>
            <w:shd w:val="clear" w:color="auto" w:fill="auto"/>
          </w:tcPr>
          <w:p w:rsidR="00B546A2" w:rsidRPr="00C17E97" w:rsidRDefault="00B546A2" w:rsidP="00C17E97">
            <w:pPr>
              <w:jc w:val="both"/>
              <w:rPr>
                <w:rFonts w:cstheme="minorHAnsi"/>
                <w:b/>
                <w:szCs w:val="20"/>
              </w:rPr>
            </w:pPr>
          </w:p>
        </w:tc>
        <w:tc>
          <w:tcPr>
            <w:tcW w:w="1667" w:type="pct"/>
            <w:shd w:val="clear" w:color="auto" w:fill="auto"/>
          </w:tcPr>
          <w:p w:rsidR="00B546A2" w:rsidRPr="00C17E97" w:rsidRDefault="00B546A2" w:rsidP="00C17E97">
            <w:pPr>
              <w:shd w:val="clear" w:color="auto" w:fill="FFFFFF"/>
              <w:cnfStyle w:val="000000000000" w:firstRow="0" w:lastRow="0" w:firstColumn="0" w:lastColumn="0" w:oddVBand="0" w:evenVBand="0" w:oddHBand="0" w:evenHBand="0" w:firstRowFirstColumn="0" w:firstRowLastColumn="0" w:lastRowFirstColumn="0" w:lastRowLastColumn="0"/>
              <w:rPr>
                <w:rFonts w:eastAsiaTheme="minorEastAsia" w:cstheme="minorHAnsi"/>
                <w:b/>
                <w:spacing w:val="-5"/>
                <w:szCs w:val="20"/>
                <w:lang w:eastAsia="en-AU"/>
              </w:rPr>
            </w:pPr>
            <w:r w:rsidRPr="00C17E97">
              <w:rPr>
                <w:rFonts w:cstheme="minorHAnsi"/>
                <w:b/>
                <w:spacing w:val="-5"/>
                <w:szCs w:val="20"/>
              </w:rPr>
              <w:t>AO1.2</w:t>
            </w:r>
          </w:p>
          <w:p w:rsidR="00B546A2" w:rsidRPr="00C17E97" w:rsidRDefault="00B546A2" w:rsidP="00C17E97">
            <w:pPr>
              <w:shd w:val="clear" w:color="auto" w:fill="FFFFFF"/>
              <w:cnfStyle w:val="000000000000" w:firstRow="0" w:lastRow="0" w:firstColumn="0" w:lastColumn="0" w:oddVBand="0" w:evenVBand="0" w:oddHBand="0" w:evenHBand="0" w:firstRowFirstColumn="0" w:firstRowLastColumn="0" w:lastRowFirstColumn="0" w:lastRowLastColumn="0"/>
              <w:rPr>
                <w:rFonts w:eastAsiaTheme="minorEastAsia" w:cstheme="minorHAnsi"/>
                <w:b/>
                <w:szCs w:val="20"/>
                <w:lang w:eastAsia="en-AU"/>
              </w:rPr>
            </w:pPr>
            <w:r w:rsidRPr="00C17E97">
              <w:rPr>
                <w:rFonts w:cstheme="minorHAnsi"/>
                <w:szCs w:val="20"/>
              </w:rPr>
              <w:t>Development does not compromise the safety and efficiency of the transport network.</w:t>
            </w:r>
          </w:p>
        </w:tc>
        <w:tc>
          <w:tcPr>
            <w:cnfStyle w:val="000010000000" w:firstRow="0" w:lastRow="0" w:firstColumn="0" w:lastColumn="0" w:oddVBand="1" w:evenVBand="0" w:oddHBand="0" w:evenHBand="0" w:firstRowFirstColumn="0" w:firstRowLastColumn="0" w:lastRowFirstColumn="0" w:lastRowLastColumn="0"/>
            <w:tcW w:w="1666" w:type="pct"/>
          </w:tcPr>
          <w:p w:rsidR="00EF127E" w:rsidRDefault="00EF127E" w:rsidP="00C17E97">
            <w:pPr>
              <w:shd w:val="clear" w:color="auto" w:fill="FFFFFF"/>
              <w:rPr>
                <w:rFonts w:cstheme="minorHAnsi"/>
                <w:b/>
                <w:spacing w:val="-5"/>
                <w:szCs w:val="20"/>
              </w:rPr>
            </w:pPr>
          </w:p>
          <w:p w:rsidR="00EF127E" w:rsidRPr="00EF127E" w:rsidRDefault="00EF127E" w:rsidP="00EF127E">
            <w:pPr>
              <w:rPr>
                <w:rFonts w:cstheme="minorHAnsi"/>
                <w:szCs w:val="20"/>
              </w:rPr>
            </w:pPr>
          </w:p>
          <w:p w:rsidR="00EF127E" w:rsidRDefault="00EF127E" w:rsidP="00EF127E">
            <w:pPr>
              <w:rPr>
                <w:rFonts w:cstheme="minorHAnsi"/>
                <w:szCs w:val="20"/>
              </w:rPr>
            </w:pPr>
          </w:p>
          <w:p w:rsidR="00B546A2" w:rsidRPr="00EF127E" w:rsidRDefault="00B546A2" w:rsidP="00EF127E">
            <w:pPr>
              <w:jc w:val="right"/>
              <w:rPr>
                <w:rFonts w:cstheme="minorHAnsi"/>
                <w:szCs w:val="20"/>
              </w:rPr>
            </w:pP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shd w:val="clear" w:color="auto" w:fill="auto"/>
          </w:tcPr>
          <w:p w:rsidR="00B546A2" w:rsidRPr="00C17E97" w:rsidRDefault="00B546A2" w:rsidP="00C17E97">
            <w:pPr>
              <w:jc w:val="both"/>
              <w:rPr>
                <w:rFonts w:cstheme="minorHAnsi"/>
                <w:b/>
                <w:szCs w:val="20"/>
              </w:rPr>
            </w:pPr>
          </w:p>
        </w:tc>
        <w:tc>
          <w:tcPr>
            <w:tcW w:w="1667" w:type="pct"/>
            <w:shd w:val="clear" w:color="auto" w:fill="auto"/>
          </w:tcPr>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AO1.3</w:t>
            </w:r>
          </w:p>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szCs w:val="20"/>
              </w:rPr>
              <w:t>Development is designed to provide access via the lowest order road, where legal and practicable access can be provided to that road.</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2C79EE" w:rsidTr="00B546A2">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546A2" w:rsidRPr="00C17E97" w:rsidRDefault="00B546A2" w:rsidP="00C17E97">
            <w:pPr>
              <w:rPr>
                <w:rStyle w:val="Strong"/>
                <w:rFonts w:cstheme="minorHAnsi"/>
                <w:szCs w:val="20"/>
              </w:rPr>
            </w:pPr>
            <w:r w:rsidRPr="00C17E97">
              <w:rPr>
                <w:rStyle w:val="Strong"/>
                <w:rFonts w:cstheme="minorHAnsi"/>
                <w:szCs w:val="20"/>
              </w:rPr>
              <w:t xml:space="preserve">Transport infrastructure provision </w:t>
            </w: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B546A2" w:rsidRPr="00C17E97" w:rsidRDefault="00B546A2" w:rsidP="00C17E97">
            <w:pPr>
              <w:autoSpaceDE w:val="0"/>
              <w:autoSpaceDN w:val="0"/>
              <w:adjustRightInd w:val="0"/>
              <w:rPr>
                <w:rFonts w:eastAsiaTheme="minorEastAsia" w:cstheme="minorHAnsi"/>
                <w:b/>
                <w:szCs w:val="20"/>
                <w:lang w:eastAsia="en-AU"/>
              </w:rPr>
            </w:pPr>
            <w:r w:rsidRPr="00C17E97">
              <w:rPr>
                <w:rFonts w:cstheme="minorHAnsi"/>
                <w:b/>
                <w:szCs w:val="20"/>
              </w:rPr>
              <w:t>PO2</w:t>
            </w:r>
          </w:p>
          <w:p w:rsidR="00B546A2" w:rsidRPr="00C17E97" w:rsidRDefault="00B546A2" w:rsidP="00C17E97">
            <w:pPr>
              <w:autoSpaceDE w:val="0"/>
              <w:autoSpaceDN w:val="0"/>
              <w:adjustRightInd w:val="0"/>
              <w:rPr>
                <w:rFonts w:cstheme="minorHAnsi"/>
                <w:szCs w:val="20"/>
              </w:rPr>
            </w:pPr>
            <w:r w:rsidRPr="00C17E97">
              <w:rPr>
                <w:rFonts w:cstheme="minorHAnsi"/>
                <w:szCs w:val="20"/>
              </w:rPr>
              <w:t xml:space="preserve">Transport infrastructure is provided in an integrated and timely manner. </w:t>
            </w:r>
          </w:p>
          <w:p w:rsidR="00B546A2" w:rsidRPr="00C17E97" w:rsidRDefault="00B546A2" w:rsidP="00C17E97">
            <w:pPr>
              <w:autoSpaceDE w:val="0"/>
              <w:autoSpaceDN w:val="0"/>
              <w:adjustRightInd w:val="0"/>
              <w:rPr>
                <w:rFonts w:cstheme="minorHAnsi"/>
                <w:szCs w:val="20"/>
              </w:rPr>
            </w:pPr>
          </w:p>
          <w:p w:rsidR="00B546A2" w:rsidRPr="00C17E97" w:rsidRDefault="00B546A2" w:rsidP="00C17E97">
            <w:pPr>
              <w:autoSpaceDE w:val="0"/>
              <w:autoSpaceDN w:val="0"/>
              <w:adjustRightInd w:val="0"/>
              <w:rPr>
                <w:rFonts w:eastAsiaTheme="minorEastAsia" w:cstheme="minorHAnsi"/>
                <w:sz w:val="16"/>
                <w:szCs w:val="16"/>
                <w:lang w:eastAsia="en-AU"/>
              </w:rPr>
            </w:pPr>
            <w:r w:rsidRPr="00C17E97">
              <w:rPr>
                <w:rFonts w:cstheme="minorHAnsi"/>
                <w:sz w:val="16"/>
                <w:szCs w:val="16"/>
                <w:lang w:val="en-GB"/>
              </w:rPr>
              <w:t xml:space="preserve">Note – </w:t>
            </w:r>
            <w:r w:rsidRPr="00C17E97">
              <w:rPr>
                <w:rFonts w:cstheme="minorHAnsi"/>
                <w:spacing w:val="-5"/>
                <w:sz w:val="16"/>
                <w:szCs w:val="16"/>
              </w:rPr>
              <w:t xml:space="preserve">A Traffic impact assessment report prepared in accordance with Planning scheme policy - Parking and access is one way to demonstrate achievement of the Performance Outcomes. </w:t>
            </w:r>
          </w:p>
        </w:tc>
        <w:tc>
          <w:tcPr>
            <w:tcW w:w="1667" w:type="pct"/>
          </w:tcPr>
          <w:p w:rsidR="00B546A2" w:rsidRPr="00C17E97" w:rsidRDefault="00B546A2" w:rsidP="00C17E97">
            <w:pPr>
              <w:shd w:val="clear" w:color="auto" w:fill="FFFFFF"/>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AO2.1</w:t>
            </w:r>
          </w:p>
          <w:p w:rsidR="00B546A2" w:rsidRPr="00C17E97" w:rsidRDefault="00B546A2" w:rsidP="00C17E97">
            <w:pPr>
              <w:shd w:val="clear" w:color="auto" w:fill="FFFFFF"/>
              <w:cnfStyle w:val="000000100000" w:firstRow="0" w:lastRow="0" w:firstColumn="0" w:lastColumn="0" w:oddVBand="0" w:evenVBand="0" w:oddHBand="1" w:evenHBand="0" w:firstRowFirstColumn="0" w:firstRowLastColumn="0" w:lastRowFirstColumn="0" w:lastRowLastColumn="0"/>
              <w:rPr>
                <w:rFonts w:eastAsiaTheme="minorEastAsia" w:cstheme="minorHAnsi"/>
                <w:szCs w:val="20"/>
                <w:lang w:eastAsia="en-AU"/>
              </w:rPr>
            </w:pPr>
            <w:r w:rsidRPr="00C17E97">
              <w:rPr>
                <w:rFonts w:cstheme="minorHAnsi"/>
                <w:szCs w:val="20"/>
              </w:rPr>
              <w:t>Development provides infrastructure (including improvements to existing infrastructure) in accordance with:</w:t>
            </w:r>
          </w:p>
          <w:p w:rsidR="00B546A2" w:rsidRPr="00A248D0" w:rsidRDefault="00B546A2" w:rsidP="00C17E97">
            <w:pPr>
              <w:shd w:val="clear" w:color="auto" w:fill="FFFFFF"/>
              <w:ind w:left="484" w:hanging="484"/>
              <w:cnfStyle w:val="000000100000" w:firstRow="0" w:lastRow="0" w:firstColumn="0" w:lastColumn="0" w:oddVBand="0" w:evenVBand="0" w:oddHBand="1" w:evenHBand="0" w:firstRowFirstColumn="0" w:firstRowLastColumn="0" w:lastRowFirstColumn="0" w:lastRowLastColumn="0"/>
              <w:rPr>
                <w:rFonts w:eastAsiaTheme="minorEastAsia" w:cstheme="minorHAnsi"/>
                <w:szCs w:val="20"/>
                <w:lang w:eastAsia="en-AU"/>
              </w:rPr>
            </w:pPr>
            <w:r w:rsidRPr="00A248D0">
              <w:rPr>
                <w:rFonts w:cstheme="minorHAnsi"/>
                <w:szCs w:val="20"/>
              </w:rPr>
              <w:t>(a)</w:t>
            </w:r>
            <w:r w:rsidRPr="00A248D0">
              <w:rPr>
                <w:rFonts w:cstheme="minorHAnsi"/>
                <w:szCs w:val="20"/>
              </w:rPr>
              <w:tab/>
              <w:t>the Transport network overlay maps contained in Schedule 2;</w:t>
            </w:r>
          </w:p>
          <w:p w:rsidR="00B546A2" w:rsidRPr="00A248D0" w:rsidRDefault="00B546A2" w:rsidP="00C17E97">
            <w:pPr>
              <w:shd w:val="clear" w:color="auto" w:fill="FFFFFF"/>
              <w:ind w:left="484" w:hanging="484"/>
              <w:cnfStyle w:val="000000100000" w:firstRow="0" w:lastRow="0" w:firstColumn="0" w:lastColumn="0" w:oddVBand="0" w:evenVBand="0" w:oddHBand="1" w:evenHBand="0" w:firstRowFirstColumn="0" w:firstRowLastColumn="0" w:lastRowFirstColumn="0" w:lastRowLastColumn="0"/>
              <w:rPr>
                <w:rFonts w:cstheme="minorHAnsi"/>
                <w:szCs w:val="20"/>
              </w:rPr>
            </w:pPr>
            <w:r w:rsidRPr="00A248D0">
              <w:rPr>
                <w:rFonts w:cstheme="minorHAnsi"/>
                <w:szCs w:val="20"/>
              </w:rPr>
              <w:t>(b)</w:t>
            </w:r>
            <w:r w:rsidRPr="00A248D0">
              <w:rPr>
                <w:rFonts w:cstheme="minorHAnsi"/>
                <w:szCs w:val="20"/>
              </w:rPr>
              <w:tab/>
              <w:t xml:space="preserve">a Local Plan. </w:t>
            </w:r>
          </w:p>
          <w:p w:rsidR="00B546A2" w:rsidRPr="00C17E97" w:rsidRDefault="00B546A2" w:rsidP="00C17E97">
            <w:pPr>
              <w:shd w:val="clear" w:color="auto" w:fill="FFFFFF"/>
              <w:ind w:left="626" w:hanging="626"/>
              <w:cnfStyle w:val="000000100000" w:firstRow="0" w:lastRow="0" w:firstColumn="0" w:lastColumn="0" w:oddVBand="0" w:evenVBand="0" w:oddHBand="1" w:evenHBand="0" w:firstRowFirstColumn="0" w:firstRowLastColumn="0" w:lastRowFirstColumn="0" w:lastRowLastColumn="0"/>
              <w:rPr>
                <w:rFonts w:eastAsiaTheme="minorEastAsia" w:cstheme="minorHAnsi"/>
                <w:szCs w:val="20"/>
                <w:lang w:eastAsia="en-AU"/>
              </w:rPr>
            </w:pPr>
          </w:p>
          <w:p w:rsidR="00B546A2" w:rsidRPr="00C17E97" w:rsidRDefault="00B546A2" w:rsidP="00C17E97">
            <w:pPr>
              <w:shd w:val="clear" w:color="auto" w:fill="FFFFFF"/>
              <w:cnfStyle w:val="000000100000" w:firstRow="0" w:lastRow="0" w:firstColumn="0" w:lastColumn="0" w:oddVBand="0" w:evenVBand="0" w:oddHBand="1" w:evenHBand="0" w:firstRowFirstColumn="0" w:firstRowLastColumn="0" w:lastRowFirstColumn="0" w:lastRowLastColumn="0"/>
              <w:rPr>
                <w:rFonts w:cstheme="minorHAnsi"/>
                <w:spacing w:val="-5"/>
                <w:sz w:val="16"/>
                <w:szCs w:val="16"/>
                <w:lang w:eastAsia="en-AU"/>
              </w:rPr>
            </w:pPr>
            <w:r w:rsidRPr="00C17E97">
              <w:rPr>
                <w:rFonts w:cstheme="minorHAnsi"/>
                <w:spacing w:val="-5"/>
                <w:sz w:val="16"/>
                <w:szCs w:val="16"/>
              </w:rPr>
              <w:t xml:space="preserve">Note – The </w:t>
            </w:r>
            <w:proofErr w:type="spellStart"/>
            <w:r w:rsidRPr="00C17E97">
              <w:rPr>
                <w:rFonts w:cstheme="minorHAnsi"/>
                <w:spacing w:val="-5"/>
                <w:sz w:val="16"/>
                <w:szCs w:val="16"/>
              </w:rPr>
              <w:t>TransLink</w:t>
            </w:r>
            <w:proofErr w:type="spellEnd"/>
            <w:r w:rsidRPr="00C17E97">
              <w:rPr>
                <w:rFonts w:cstheme="minorHAnsi"/>
                <w:spacing w:val="-5"/>
                <w:sz w:val="16"/>
                <w:szCs w:val="16"/>
              </w:rPr>
              <w:t xml:space="preserve"> Public Transport Infrastructure Manual provides guidance on the design of public transport facilities. </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shd w:val="clear" w:color="auto" w:fill="FFFFFF"/>
              <w:rPr>
                <w:rFonts w:cstheme="minorHAnsi"/>
                <w:b/>
                <w:szCs w:val="20"/>
              </w:rPr>
            </w:pPr>
          </w:p>
        </w:tc>
      </w:tr>
      <w:tr w:rsidR="00B546A2" w:rsidRPr="002C79EE" w:rsidTr="00B546A2">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B546A2" w:rsidRPr="00C17E97" w:rsidRDefault="00B546A2" w:rsidP="00C17E97">
            <w:pPr>
              <w:rPr>
                <w:rStyle w:val="Strong"/>
                <w:rFonts w:cstheme="minorHAnsi"/>
                <w:szCs w:val="20"/>
              </w:rPr>
            </w:pPr>
            <w:r w:rsidRPr="00C17E97">
              <w:rPr>
                <w:rStyle w:val="Strong"/>
                <w:rFonts w:cstheme="minorHAnsi"/>
                <w:szCs w:val="20"/>
              </w:rPr>
              <w:t xml:space="preserve">Major transport corridors </w:t>
            </w:r>
          </w:p>
        </w:tc>
      </w:tr>
      <w:tr w:rsidR="00B546A2" w:rsidRPr="002C79EE"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rsidR="00B546A2" w:rsidRPr="00C17E97" w:rsidRDefault="00B546A2" w:rsidP="00C17E97">
            <w:pPr>
              <w:autoSpaceDE w:val="0"/>
              <w:autoSpaceDN w:val="0"/>
              <w:adjustRightInd w:val="0"/>
              <w:rPr>
                <w:rFonts w:eastAsiaTheme="minorEastAsia" w:cstheme="minorHAnsi"/>
                <w:b/>
                <w:szCs w:val="20"/>
                <w:lang w:eastAsia="en-AU"/>
              </w:rPr>
            </w:pPr>
            <w:r w:rsidRPr="00C17E97">
              <w:rPr>
                <w:rFonts w:cstheme="minorHAnsi"/>
                <w:b/>
                <w:szCs w:val="20"/>
              </w:rPr>
              <w:t>PO3</w:t>
            </w:r>
          </w:p>
          <w:p w:rsidR="00B546A2" w:rsidRPr="00C17E97" w:rsidRDefault="00B546A2" w:rsidP="00C17E97">
            <w:pPr>
              <w:autoSpaceDE w:val="0"/>
              <w:autoSpaceDN w:val="0"/>
              <w:adjustRightInd w:val="0"/>
              <w:rPr>
                <w:rStyle w:val="Strong"/>
                <w:rFonts w:cstheme="minorHAnsi"/>
                <w:szCs w:val="20"/>
              </w:rPr>
            </w:pPr>
            <w:r w:rsidRPr="00C17E97">
              <w:rPr>
                <w:rFonts w:cstheme="minorHAnsi"/>
                <w:szCs w:val="20"/>
              </w:rPr>
              <w:t>Development involving sensitive land uses within a major transport corridor buffer area identified in the Transport network overlay maps contained in Schedule 2; is located, designed and maintained to avoid or mitigate adverse impacts on amenity for the sensitive land use.</w:t>
            </w:r>
          </w:p>
        </w:tc>
        <w:tc>
          <w:tcPr>
            <w:tcW w:w="1667" w:type="pct"/>
            <w:shd w:val="clear" w:color="auto" w:fill="auto"/>
          </w:tcPr>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AO3.1</w:t>
            </w:r>
          </w:p>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C17E97">
              <w:rPr>
                <w:rFonts w:cstheme="minorHAnsi"/>
                <w:szCs w:val="20"/>
              </w:rPr>
              <w:t xml:space="preserve">No acceptable outcomes are provided. </w:t>
            </w:r>
          </w:p>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Cs w:val="20"/>
              </w:rPr>
            </w:pPr>
          </w:p>
          <w:p w:rsidR="00B546A2" w:rsidRPr="00AA7028"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pacing w:val="-5"/>
                <w:sz w:val="16"/>
                <w:szCs w:val="16"/>
              </w:rPr>
            </w:pPr>
            <w:r w:rsidRPr="00AA7028">
              <w:rPr>
                <w:rFonts w:cstheme="minorHAnsi"/>
                <w:spacing w:val="-5"/>
                <w:sz w:val="16"/>
                <w:szCs w:val="16"/>
              </w:rPr>
              <w:t>Note - Part 4.4 of the Queensland Development Code provides requirements for</w:t>
            </w:r>
            <w:r w:rsidRPr="00AA7028">
              <w:rPr>
                <w:rFonts w:eastAsiaTheme="minorEastAsia" w:cstheme="minorHAnsi"/>
                <w:spacing w:val="-5"/>
                <w:sz w:val="16"/>
                <w:szCs w:val="16"/>
                <w:lang w:eastAsia="en-AU"/>
              </w:rPr>
              <w:t xml:space="preserve"> </w:t>
            </w:r>
            <w:r w:rsidRPr="00AA7028">
              <w:rPr>
                <w:rFonts w:cstheme="minorHAnsi"/>
                <w:spacing w:val="-5"/>
                <w:sz w:val="16"/>
                <w:szCs w:val="16"/>
              </w:rPr>
              <w:t>residential building design in a designated transport</w:t>
            </w:r>
            <w:r w:rsidRPr="00AA7028">
              <w:rPr>
                <w:rFonts w:eastAsiaTheme="minorEastAsia" w:cstheme="minorHAnsi"/>
                <w:spacing w:val="-5"/>
                <w:sz w:val="16"/>
                <w:szCs w:val="16"/>
                <w:lang w:eastAsia="en-AU"/>
              </w:rPr>
              <w:t xml:space="preserve"> </w:t>
            </w:r>
            <w:r w:rsidRPr="00AA7028">
              <w:rPr>
                <w:rFonts w:cstheme="minorHAnsi"/>
                <w:spacing w:val="-5"/>
                <w:sz w:val="16"/>
                <w:szCs w:val="16"/>
              </w:rPr>
              <w:t>noise corridor.</w:t>
            </w:r>
          </w:p>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pacing w:val="-5"/>
                <w:szCs w:val="20"/>
              </w:rPr>
            </w:pPr>
          </w:p>
          <w:p w:rsidR="00B546A2"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17E97">
              <w:rPr>
                <w:rFonts w:cstheme="minorHAnsi"/>
                <w:spacing w:val="-5"/>
                <w:sz w:val="16"/>
                <w:szCs w:val="16"/>
              </w:rPr>
              <w:t>Note - Department of Transport and Main Roads Policy Position Statement:  Development on Land Affected by Environmental Emissions from Transport and Transport Infrastructure (Environmental Emissions Policy), Version 2.0 dated 10 May 2013 provides requirements for non-residential building design in a designated transport noise corridor</w:t>
            </w:r>
            <w:r w:rsidRPr="00C17E97">
              <w:rPr>
                <w:rFonts w:cstheme="minorHAnsi"/>
                <w:sz w:val="16"/>
                <w:szCs w:val="16"/>
              </w:rPr>
              <w:t>.</w:t>
            </w:r>
          </w:p>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Strong"/>
                <w:rFonts w:cstheme="minorHAnsi"/>
                <w:b w:val="0"/>
                <w:bCs w:val="0"/>
                <w:spacing w:val="-5"/>
                <w:sz w:val="16"/>
                <w:szCs w:val="16"/>
              </w:rPr>
            </w:pP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5A77FA" w:rsidTr="00B546A2">
        <w:tc>
          <w:tcPr>
            <w:cnfStyle w:val="000010000000" w:firstRow="0" w:lastRow="0" w:firstColumn="0" w:lastColumn="0" w:oddVBand="1" w:evenVBand="0" w:oddHBand="0" w:evenHBand="0" w:firstRowFirstColumn="0" w:firstRowLastColumn="0" w:lastRowFirstColumn="0" w:lastRowLastColumn="0"/>
            <w:tcW w:w="1667" w:type="pct"/>
            <w:vMerge w:val="restart"/>
          </w:tcPr>
          <w:p w:rsidR="00B546A2" w:rsidRPr="00C17E97" w:rsidRDefault="00B546A2" w:rsidP="00C17E97">
            <w:pPr>
              <w:autoSpaceDE w:val="0"/>
              <w:autoSpaceDN w:val="0"/>
              <w:adjustRightInd w:val="0"/>
              <w:rPr>
                <w:rFonts w:eastAsiaTheme="minorEastAsia" w:cstheme="minorHAnsi"/>
                <w:b/>
                <w:szCs w:val="20"/>
                <w:lang w:eastAsia="en-AU"/>
              </w:rPr>
            </w:pPr>
            <w:r w:rsidRPr="00C17E97">
              <w:rPr>
                <w:rFonts w:cstheme="minorHAnsi"/>
                <w:b/>
                <w:szCs w:val="20"/>
              </w:rPr>
              <w:t>PO4</w:t>
            </w:r>
          </w:p>
          <w:p w:rsidR="00B546A2" w:rsidRPr="00C17E97" w:rsidRDefault="00B546A2" w:rsidP="00C17E97">
            <w:pPr>
              <w:autoSpaceDE w:val="0"/>
              <w:autoSpaceDN w:val="0"/>
              <w:adjustRightInd w:val="0"/>
              <w:rPr>
                <w:rFonts w:cstheme="minorHAnsi"/>
                <w:szCs w:val="20"/>
              </w:rPr>
            </w:pPr>
            <w:r w:rsidRPr="00C17E97">
              <w:rPr>
                <w:rFonts w:cstheme="minorHAnsi"/>
                <w:szCs w:val="20"/>
              </w:rPr>
              <w:t>Development does not compromise intended role and function or safety and efficiency of major transport corridors.</w:t>
            </w:r>
          </w:p>
          <w:p w:rsidR="00B546A2" w:rsidRPr="00C17E97" w:rsidRDefault="00B546A2" w:rsidP="00C17E97">
            <w:pPr>
              <w:autoSpaceDE w:val="0"/>
              <w:autoSpaceDN w:val="0"/>
              <w:adjustRightInd w:val="0"/>
              <w:rPr>
                <w:rFonts w:cstheme="minorHAnsi"/>
                <w:szCs w:val="20"/>
              </w:rPr>
            </w:pPr>
          </w:p>
          <w:p w:rsidR="00B546A2" w:rsidRPr="00C17E97" w:rsidRDefault="00B546A2" w:rsidP="00C17E97">
            <w:pPr>
              <w:autoSpaceDE w:val="0"/>
              <w:autoSpaceDN w:val="0"/>
              <w:adjustRightInd w:val="0"/>
              <w:rPr>
                <w:rFonts w:eastAsiaTheme="minorEastAsia" w:cstheme="minorHAnsi"/>
                <w:sz w:val="16"/>
                <w:szCs w:val="16"/>
                <w:lang w:eastAsia="en-AU"/>
              </w:rPr>
            </w:pPr>
            <w:r w:rsidRPr="00C17E97">
              <w:rPr>
                <w:rFonts w:cstheme="minorHAnsi"/>
                <w:sz w:val="16"/>
                <w:szCs w:val="16"/>
                <w:lang w:val="en-GB"/>
              </w:rPr>
              <w:t xml:space="preserve">Note - </w:t>
            </w:r>
            <w:r w:rsidRPr="00C17E97">
              <w:rPr>
                <w:rFonts w:cstheme="minorHAnsi"/>
                <w:spacing w:val="-5"/>
                <w:sz w:val="16"/>
                <w:szCs w:val="16"/>
              </w:rPr>
              <w:t>A Traffic impact assessment report prepared in accordance with Planning scheme policy - Parking and access is one way to demonstrate achievement of the Performance Outcomes.</w:t>
            </w:r>
          </w:p>
        </w:tc>
        <w:tc>
          <w:tcPr>
            <w:tcW w:w="1667" w:type="pct"/>
          </w:tcPr>
          <w:p w:rsidR="00B546A2" w:rsidRPr="00C17E97"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AO4.1</w:t>
            </w:r>
          </w:p>
          <w:p w:rsidR="00B546A2" w:rsidRPr="00C17E97" w:rsidRDefault="00B546A2" w:rsidP="00C17E97">
            <w:pPr>
              <w:shd w:val="clear" w:color="auto" w:fill="FFFFFF"/>
              <w:cnfStyle w:val="000000000000" w:firstRow="0" w:lastRow="0" w:firstColumn="0" w:lastColumn="0" w:oddVBand="0" w:evenVBand="0" w:oddHBand="0" w:evenHBand="0" w:firstRowFirstColumn="0" w:firstRowLastColumn="0" w:lastRowFirstColumn="0" w:lastRowLastColumn="0"/>
              <w:rPr>
                <w:rFonts w:eastAsiaTheme="minorEastAsia" w:cstheme="minorHAnsi"/>
                <w:szCs w:val="20"/>
                <w:lang w:eastAsia="en-AU"/>
              </w:rPr>
            </w:pPr>
            <w:r w:rsidRPr="00C17E97">
              <w:rPr>
                <w:rFonts w:cstheme="minorHAnsi"/>
                <w:szCs w:val="20"/>
              </w:rPr>
              <w:t xml:space="preserve">Development is compatible with the role and function (including the future role and function) of major transport corridors. </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B546A2" w:rsidRPr="00C17E97" w:rsidRDefault="00B546A2" w:rsidP="00C17E97">
            <w:pPr>
              <w:autoSpaceDE w:val="0"/>
              <w:autoSpaceDN w:val="0"/>
              <w:adjustRightInd w:val="0"/>
              <w:rPr>
                <w:rFonts w:eastAsiaTheme="minorEastAsia" w:cstheme="minorHAnsi"/>
                <w:b/>
                <w:szCs w:val="20"/>
                <w:lang w:eastAsia="en-AU"/>
              </w:rPr>
            </w:pPr>
          </w:p>
        </w:tc>
        <w:tc>
          <w:tcPr>
            <w:tcW w:w="1667" w:type="pct"/>
          </w:tcPr>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AO4.2</w:t>
            </w:r>
          </w:p>
          <w:p w:rsidR="00B546A2" w:rsidRPr="00C17E97" w:rsidRDefault="00B546A2" w:rsidP="00C17E97">
            <w:pPr>
              <w:shd w:val="clear" w:color="auto" w:fill="FFFFFF"/>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szCs w:val="20"/>
              </w:rPr>
              <w:t xml:space="preserve">Direct access is not provided to a major transport corridor where legal and practical access from </w:t>
            </w:r>
            <w:r w:rsidRPr="00C17E97">
              <w:rPr>
                <w:rFonts w:cstheme="minorHAnsi"/>
                <w:szCs w:val="20"/>
              </w:rPr>
              <w:lastRenderedPageBreak/>
              <w:t xml:space="preserve">another road is available. </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F50B8F" w:rsidTr="00B546A2">
        <w:tc>
          <w:tcPr>
            <w:cnfStyle w:val="000010000000" w:firstRow="0" w:lastRow="0" w:firstColumn="0" w:lastColumn="0" w:oddVBand="1" w:evenVBand="0" w:oddHBand="0" w:evenHBand="0" w:firstRowFirstColumn="0" w:firstRowLastColumn="0" w:lastRowFirstColumn="0" w:lastRowLastColumn="0"/>
            <w:tcW w:w="1667" w:type="pct"/>
            <w:vMerge/>
          </w:tcPr>
          <w:p w:rsidR="00B546A2" w:rsidRPr="00C17E97" w:rsidRDefault="00B546A2" w:rsidP="00C17E97">
            <w:pPr>
              <w:autoSpaceDE w:val="0"/>
              <w:autoSpaceDN w:val="0"/>
              <w:adjustRightInd w:val="0"/>
              <w:rPr>
                <w:rFonts w:eastAsiaTheme="minorEastAsia" w:cstheme="minorHAnsi"/>
                <w:b/>
                <w:szCs w:val="20"/>
                <w:lang w:eastAsia="en-AU"/>
              </w:rPr>
            </w:pPr>
          </w:p>
        </w:tc>
        <w:tc>
          <w:tcPr>
            <w:tcW w:w="1667" w:type="pct"/>
          </w:tcPr>
          <w:p w:rsidR="00B546A2" w:rsidRPr="00C17E97"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AO4.3</w:t>
            </w:r>
          </w:p>
          <w:p w:rsidR="00B546A2" w:rsidRPr="00C17E97"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inorHAnsi"/>
                <w:szCs w:val="20"/>
                <w:lang w:eastAsia="en-AU"/>
              </w:rPr>
            </w:pPr>
            <w:r w:rsidRPr="00C17E97">
              <w:rPr>
                <w:rFonts w:cstheme="minorHAnsi"/>
                <w:szCs w:val="20"/>
              </w:rPr>
              <w:t>Intersection and access points associated with major transport corridors are located in accordance with:</w:t>
            </w:r>
          </w:p>
          <w:p w:rsidR="00B546A2" w:rsidRPr="00C17E97" w:rsidRDefault="00B546A2" w:rsidP="00C17E97">
            <w:pPr>
              <w:autoSpaceDE w:val="0"/>
              <w:autoSpaceDN w:val="0"/>
              <w:adjustRightInd w:val="0"/>
              <w:ind w:left="626" w:hanging="626"/>
              <w:cnfStyle w:val="000000000000" w:firstRow="0" w:lastRow="0" w:firstColumn="0" w:lastColumn="0" w:oddVBand="0" w:evenVBand="0" w:oddHBand="0" w:evenHBand="0" w:firstRowFirstColumn="0" w:firstRowLastColumn="0" w:lastRowFirstColumn="0" w:lastRowLastColumn="0"/>
              <w:rPr>
                <w:rFonts w:eastAsiaTheme="minorEastAsia" w:cstheme="minorHAnsi"/>
                <w:szCs w:val="20"/>
                <w:lang w:eastAsia="en-AU"/>
              </w:rPr>
            </w:pPr>
            <w:r w:rsidRPr="00C17E97">
              <w:rPr>
                <w:rFonts w:cstheme="minorHAnsi"/>
                <w:szCs w:val="20"/>
              </w:rPr>
              <w:t>(a)</w:t>
            </w:r>
            <w:r w:rsidRPr="00C17E97">
              <w:rPr>
                <w:rFonts w:cstheme="minorHAnsi"/>
                <w:szCs w:val="20"/>
              </w:rPr>
              <w:tab/>
              <w:t>the Transport network overlay maps contained in Schedule 2; and</w:t>
            </w:r>
          </w:p>
          <w:p w:rsidR="00B546A2" w:rsidRPr="00C17E97" w:rsidRDefault="00B546A2" w:rsidP="00C17E97">
            <w:pPr>
              <w:autoSpaceDE w:val="0"/>
              <w:autoSpaceDN w:val="0"/>
              <w:adjustRightInd w:val="0"/>
              <w:ind w:left="626" w:hanging="626"/>
              <w:cnfStyle w:val="000000000000" w:firstRow="0" w:lastRow="0" w:firstColumn="0" w:lastColumn="0" w:oddVBand="0" w:evenVBand="0" w:oddHBand="0" w:evenHBand="0" w:firstRowFirstColumn="0" w:firstRowLastColumn="0" w:lastRowFirstColumn="0" w:lastRowLastColumn="0"/>
              <w:rPr>
                <w:rFonts w:cstheme="minorHAnsi"/>
                <w:spacing w:val="-5"/>
                <w:szCs w:val="20"/>
              </w:rPr>
            </w:pPr>
            <w:r w:rsidRPr="00C17E97" w:rsidDel="003550C0">
              <w:rPr>
                <w:rFonts w:cstheme="minorHAnsi"/>
                <w:spacing w:val="-5"/>
                <w:szCs w:val="20"/>
              </w:rPr>
              <w:t xml:space="preserve"> </w:t>
            </w:r>
            <w:r w:rsidRPr="00C17E97">
              <w:rPr>
                <w:rFonts w:cstheme="minorHAnsi"/>
                <w:spacing w:val="-5"/>
                <w:szCs w:val="20"/>
              </w:rPr>
              <w:t>(b)</w:t>
            </w:r>
            <w:r w:rsidRPr="00C17E97">
              <w:rPr>
                <w:rFonts w:cstheme="minorHAnsi"/>
                <w:spacing w:val="-5"/>
                <w:szCs w:val="20"/>
              </w:rPr>
              <w:tab/>
              <w:t xml:space="preserve">a Local Plan. </w:t>
            </w:r>
          </w:p>
          <w:p w:rsidR="00B546A2" w:rsidRPr="00C17E97" w:rsidRDefault="00B546A2" w:rsidP="00C17E97">
            <w:pPr>
              <w:autoSpaceDE w:val="0"/>
              <w:autoSpaceDN w:val="0"/>
              <w:adjustRightInd w:val="0"/>
              <w:ind w:left="626" w:hanging="626"/>
              <w:cnfStyle w:val="000000000000" w:firstRow="0" w:lastRow="0" w:firstColumn="0" w:lastColumn="0" w:oddVBand="0" w:evenVBand="0" w:oddHBand="0" w:evenHBand="0" w:firstRowFirstColumn="0" w:firstRowLastColumn="0" w:lastRowFirstColumn="0" w:lastRowLastColumn="0"/>
              <w:rPr>
                <w:rFonts w:cstheme="minorHAnsi"/>
                <w:spacing w:val="-5"/>
                <w:szCs w:val="20"/>
              </w:rPr>
            </w:pPr>
          </w:p>
          <w:p w:rsidR="00B546A2" w:rsidRPr="00C17E97" w:rsidRDefault="00B546A2" w:rsidP="00C17E97">
            <w:pPr>
              <w:autoSpaceDE w:val="0"/>
              <w:autoSpaceDN w:val="0"/>
              <w:adjustRightInd w:val="0"/>
              <w:ind w:left="59"/>
              <w:cnfStyle w:val="000000000000" w:firstRow="0" w:lastRow="0" w:firstColumn="0" w:lastColumn="0" w:oddVBand="0" w:evenVBand="0" w:oddHBand="0" w:evenHBand="0" w:firstRowFirstColumn="0" w:firstRowLastColumn="0" w:lastRowFirstColumn="0" w:lastRowLastColumn="0"/>
              <w:rPr>
                <w:rFonts w:eastAsiaTheme="minorEastAsia" w:cstheme="minorHAnsi"/>
                <w:b/>
                <w:sz w:val="16"/>
                <w:szCs w:val="16"/>
                <w:lang w:eastAsia="en-AU"/>
              </w:rPr>
            </w:pPr>
            <w:r w:rsidRPr="00C17E97">
              <w:rPr>
                <w:rFonts w:cstheme="minorHAnsi"/>
                <w:spacing w:val="-5"/>
                <w:sz w:val="16"/>
                <w:szCs w:val="16"/>
              </w:rPr>
              <w:t>Note</w:t>
            </w:r>
            <w:r>
              <w:rPr>
                <w:rFonts w:cstheme="minorHAnsi"/>
                <w:spacing w:val="-5"/>
                <w:sz w:val="16"/>
                <w:szCs w:val="16"/>
              </w:rPr>
              <w:t xml:space="preserve"> – Access </w:t>
            </w:r>
            <w:r w:rsidRPr="00C17E97">
              <w:rPr>
                <w:rFonts w:cstheme="minorHAnsi"/>
                <w:spacing w:val="-5"/>
                <w:sz w:val="16"/>
                <w:szCs w:val="16"/>
              </w:rPr>
              <w:t xml:space="preserve">points to State Controlled roads may require approval under the Transport Infrastructure Act 1994.   </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B546A2" w:rsidRPr="00C17E97" w:rsidRDefault="00B546A2" w:rsidP="00C17E97">
            <w:pPr>
              <w:autoSpaceDE w:val="0"/>
              <w:autoSpaceDN w:val="0"/>
              <w:adjustRightInd w:val="0"/>
              <w:rPr>
                <w:rFonts w:eastAsiaTheme="minorEastAsia" w:cstheme="minorHAnsi"/>
                <w:b/>
                <w:szCs w:val="20"/>
                <w:lang w:eastAsia="en-AU"/>
              </w:rPr>
            </w:pPr>
          </w:p>
        </w:tc>
        <w:tc>
          <w:tcPr>
            <w:tcW w:w="1667" w:type="pct"/>
          </w:tcPr>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AO4.4</w:t>
            </w:r>
          </w:p>
          <w:p w:rsidR="00B546A2" w:rsidRPr="00C17E97" w:rsidRDefault="00B546A2" w:rsidP="00C17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heme="minorHAnsi"/>
                <w:b/>
                <w:szCs w:val="20"/>
                <w:lang w:eastAsia="en-AU"/>
              </w:rPr>
            </w:pPr>
            <w:r w:rsidRPr="00C17E97">
              <w:rPr>
                <w:rFonts w:cstheme="minorHAnsi"/>
                <w:szCs w:val="20"/>
              </w:rPr>
              <w:t xml:space="preserve">The layout of development and the design of the associated access is compatible with existing and future boundaries of the major transport corridor or major transport facility. </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5A77FA" w:rsidTr="00B546A2">
        <w:tc>
          <w:tcPr>
            <w:cnfStyle w:val="000010000000" w:firstRow="0" w:lastRow="0" w:firstColumn="0" w:lastColumn="0" w:oddVBand="1" w:evenVBand="0" w:oddHBand="0" w:evenHBand="0" w:firstRowFirstColumn="0" w:firstRowLastColumn="0" w:lastRowFirstColumn="0" w:lastRowLastColumn="0"/>
            <w:tcW w:w="1667" w:type="pct"/>
          </w:tcPr>
          <w:p w:rsidR="00B546A2" w:rsidRPr="00C17E97" w:rsidRDefault="00B546A2" w:rsidP="00C17E97">
            <w:pPr>
              <w:autoSpaceDE w:val="0"/>
              <w:autoSpaceDN w:val="0"/>
              <w:adjustRightInd w:val="0"/>
              <w:rPr>
                <w:rFonts w:cstheme="minorHAnsi"/>
                <w:b/>
                <w:szCs w:val="20"/>
              </w:rPr>
            </w:pPr>
            <w:r w:rsidRPr="00C17E97">
              <w:rPr>
                <w:rFonts w:cstheme="minorHAnsi"/>
                <w:b/>
                <w:szCs w:val="20"/>
              </w:rPr>
              <w:t xml:space="preserve">PO5 </w:t>
            </w:r>
          </w:p>
          <w:p w:rsidR="00B546A2" w:rsidRPr="00C17E97" w:rsidRDefault="00B546A2" w:rsidP="00C17E97">
            <w:pPr>
              <w:autoSpaceDE w:val="0"/>
              <w:autoSpaceDN w:val="0"/>
              <w:adjustRightInd w:val="0"/>
              <w:rPr>
                <w:rFonts w:cstheme="minorHAnsi"/>
                <w:szCs w:val="20"/>
              </w:rPr>
            </w:pPr>
            <w:r w:rsidRPr="00C17E97">
              <w:rPr>
                <w:rFonts w:cstheme="minorHAnsi"/>
                <w:szCs w:val="20"/>
              </w:rPr>
              <w:t>Development retains and enhances existing vegetation between the development and a major transport corridor, so as to provide screening to potential noise, dust, odour and visual impacts emanating from the corridor.</w:t>
            </w:r>
          </w:p>
        </w:tc>
        <w:tc>
          <w:tcPr>
            <w:tcW w:w="1667" w:type="pct"/>
          </w:tcPr>
          <w:p w:rsidR="00B546A2" w:rsidRPr="00C17E97"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inorHAnsi"/>
                <w:b/>
                <w:szCs w:val="20"/>
                <w:lang w:eastAsia="en-AU"/>
              </w:rPr>
            </w:pPr>
            <w:r w:rsidRPr="00C17E97">
              <w:rPr>
                <w:rFonts w:cstheme="minorHAnsi"/>
                <w:b/>
                <w:szCs w:val="20"/>
              </w:rPr>
              <w:t>AO5.1</w:t>
            </w:r>
          </w:p>
          <w:p w:rsidR="00B546A2" w:rsidRPr="00C17E97"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rPr>
            </w:pPr>
            <w:r w:rsidRPr="00C17E97">
              <w:rPr>
                <w:rFonts w:cstheme="minorHAnsi"/>
                <w:szCs w:val="20"/>
              </w:rPr>
              <w:t xml:space="preserve">No acceptable outcomes are provided. </w:t>
            </w:r>
          </w:p>
          <w:p w:rsidR="00B546A2" w:rsidRPr="00C17E97"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autoSpaceDE w:val="0"/>
              <w:autoSpaceDN w:val="0"/>
              <w:adjustRightInd w:val="0"/>
              <w:rPr>
                <w:rFonts w:cstheme="minorHAnsi"/>
                <w:b/>
                <w:szCs w:val="20"/>
              </w:rPr>
            </w:pP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546A2" w:rsidRPr="00C17E97" w:rsidRDefault="00B546A2" w:rsidP="00C17E97">
            <w:pPr>
              <w:autoSpaceDE w:val="0"/>
              <w:autoSpaceDN w:val="0"/>
              <w:adjustRightInd w:val="0"/>
              <w:rPr>
                <w:rStyle w:val="Strong"/>
                <w:rFonts w:cstheme="minorHAnsi"/>
                <w:szCs w:val="20"/>
              </w:rPr>
            </w:pPr>
            <w:r w:rsidRPr="00C17E97">
              <w:rPr>
                <w:rStyle w:val="Strong"/>
                <w:rFonts w:cstheme="minorHAnsi"/>
                <w:szCs w:val="20"/>
              </w:rPr>
              <w:t>Pedestrian and cycle movement network</w:t>
            </w:r>
          </w:p>
        </w:tc>
      </w:tr>
      <w:tr w:rsidR="00B546A2" w:rsidRPr="005A77FA" w:rsidTr="00B546A2">
        <w:tc>
          <w:tcPr>
            <w:cnfStyle w:val="000010000000" w:firstRow="0" w:lastRow="0" w:firstColumn="0" w:lastColumn="0" w:oddVBand="1" w:evenVBand="0" w:oddHBand="0" w:evenHBand="0" w:firstRowFirstColumn="0" w:firstRowLastColumn="0" w:lastRowFirstColumn="0" w:lastRowLastColumn="0"/>
            <w:tcW w:w="1667" w:type="pct"/>
            <w:vMerge w:val="restart"/>
          </w:tcPr>
          <w:p w:rsidR="00B546A2" w:rsidRPr="00C17E97" w:rsidRDefault="00B546A2" w:rsidP="00C17E97">
            <w:pPr>
              <w:pStyle w:val="TableText"/>
              <w:tabs>
                <w:tab w:val="left" w:pos="360"/>
              </w:tabs>
              <w:spacing w:before="0"/>
              <w:rPr>
                <w:rFonts w:asciiTheme="minorHAnsi" w:hAnsiTheme="minorHAnsi" w:cstheme="minorHAnsi"/>
                <w:b/>
                <w:spacing w:val="0"/>
                <w:sz w:val="20"/>
                <w:lang w:val="en-GB"/>
              </w:rPr>
            </w:pPr>
            <w:r w:rsidRPr="00C17E97">
              <w:rPr>
                <w:rFonts w:asciiTheme="minorHAnsi" w:hAnsiTheme="minorHAnsi" w:cstheme="minorHAnsi"/>
                <w:b/>
                <w:spacing w:val="0"/>
                <w:sz w:val="20"/>
                <w:lang w:val="en-GB"/>
              </w:rPr>
              <w:t>PO6</w:t>
            </w:r>
          </w:p>
          <w:p w:rsidR="00B546A2" w:rsidRPr="00C17E97" w:rsidRDefault="00B546A2" w:rsidP="00C17E97">
            <w:pPr>
              <w:autoSpaceDE w:val="0"/>
              <w:autoSpaceDN w:val="0"/>
              <w:adjustRightInd w:val="0"/>
              <w:rPr>
                <w:rFonts w:cstheme="minorHAnsi"/>
                <w:b/>
                <w:szCs w:val="20"/>
              </w:rPr>
            </w:pPr>
            <w:r w:rsidRPr="00C17E97">
              <w:rPr>
                <w:rFonts w:cstheme="minorHAnsi"/>
                <w:szCs w:val="20"/>
                <w:lang w:val="en-GB"/>
              </w:rPr>
              <w:t xml:space="preserve">Lot reconfiguration assists in the implementation of the pedestrian and cycle movement network to achieve safe, </w:t>
            </w:r>
            <w:r w:rsidRPr="00C17E97">
              <w:rPr>
                <w:rFonts w:cstheme="minorHAnsi"/>
                <w:color w:val="000000"/>
                <w:szCs w:val="20"/>
                <w:lang w:val="en-GB"/>
              </w:rPr>
              <w:t>attractive and efficient pedestrian and cycle networks.</w:t>
            </w:r>
          </w:p>
        </w:tc>
        <w:tc>
          <w:tcPr>
            <w:tcW w:w="1667" w:type="pct"/>
          </w:tcPr>
          <w:p w:rsidR="00B546A2" w:rsidRPr="00C17E97" w:rsidRDefault="00B546A2" w:rsidP="00C17E97">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pacing w:val="0"/>
                <w:sz w:val="20"/>
                <w:lang w:val="en-GB"/>
              </w:rPr>
            </w:pPr>
            <w:r w:rsidRPr="00C17E97">
              <w:rPr>
                <w:rFonts w:asciiTheme="minorHAnsi" w:hAnsiTheme="minorHAnsi" w:cstheme="minorHAnsi"/>
                <w:b/>
                <w:spacing w:val="0"/>
                <w:sz w:val="20"/>
                <w:lang w:val="en-GB"/>
              </w:rPr>
              <w:t>AO6.1</w:t>
            </w:r>
          </w:p>
          <w:p w:rsidR="00B546A2" w:rsidRPr="00374908" w:rsidRDefault="00B546A2" w:rsidP="00C17E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17E97">
              <w:rPr>
                <w:rFonts w:cstheme="minorHAnsi"/>
                <w:szCs w:val="20"/>
                <w:lang w:val="en-GB"/>
              </w:rPr>
              <w:t>Where a lot is subject to, or adjacent to an element of the pedestrian and cycle Movement network (identified on the Transport network overlay maps contained in Schedule 2) the specific location of this element of the pedestrian and cycle movement network is incorporated in the design of the lot layout.</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pStyle w:val="TableText"/>
              <w:spacing w:before="0"/>
              <w:rPr>
                <w:rFonts w:asciiTheme="minorHAnsi" w:hAnsiTheme="minorHAnsi" w:cstheme="minorHAnsi"/>
                <w:b/>
                <w:spacing w:val="0"/>
                <w:sz w:val="20"/>
                <w:lang w:val="en-GB"/>
              </w:rPr>
            </w:pPr>
          </w:p>
        </w:tc>
      </w:tr>
      <w:tr w:rsidR="00B546A2" w:rsidRPr="005A77FA" w:rsidTr="00B5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B546A2" w:rsidRPr="00C17E97" w:rsidRDefault="00B546A2" w:rsidP="00C17E97">
            <w:pPr>
              <w:pStyle w:val="TableText"/>
              <w:tabs>
                <w:tab w:val="left" w:pos="360"/>
              </w:tabs>
              <w:spacing w:before="0"/>
              <w:rPr>
                <w:rFonts w:asciiTheme="minorHAnsi" w:hAnsiTheme="minorHAnsi" w:cstheme="minorHAnsi"/>
                <w:b/>
                <w:spacing w:val="0"/>
                <w:sz w:val="20"/>
                <w:lang w:val="en-GB"/>
              </w:rPr>
            </w:pPr>
          </w:p>
        </w:tc>
        <w:tc>
          <w:tcPr>
            <w:tcW w:w="1667" w:type="pct"/>
          </w:tcPr>
          <w:p w:rsidR="00B546A2" w:rsidRPr="00C17E97" w:rsidRDefault="00B546A2" w:rsidP="00C17E97">
            <w:pPr>
              <w:pStyle w:val="TableText"/>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0"/>
                <w:sz w:val="20"/>
                <w:lang w:val="en-GB"/>
              </w:rPr>
            </w:pPr>
            <w:r w:rsidRPr="00C17E97">
              <w:rPr>
                <w:rFonts w:asciiTheme="minorHAnsi" w:hAnsiTheme="minorHAnsi" w:cstheme="minorHAnsi"/>
                <w:b/>
                <w:spacing w:val="0"/>
                <w:sz w:val="20"/>
                <w:lang w:val="en-GB"/>
              </w:rPr>
              <w:t>AO6.2</w:t>
            </w:r>
          </w:p>
          <w:p w:rsidR="00B546A2" w:rsidRPr="00C17E97" w:rsidRDefault="00B546A2" w:rsidP="00B350EF">
            <w:pPr>
              <w:pStyle w:val="TableText"/>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0"/>
                <w:sz w:val="20"/>
                <w:lang w:val="en-GB"/>
              </w:rPr>
            </w:pPr>
            <w:r w:rsidRPr="00C17E97">
              <w:rPr>
                <w:rFonts w:asciiTheme="minorHAnsi" w:hAnsiTheme="minorHAnsi" w:cstheme="minorHAnsi"/>
                <w:sz w:val="20"/>
                <w:lang w:val="en-GB"/>
              </w:rPr>
              <w:t xml:space="preserve">The element of the pedestrian and cycle movement network is constructed in accordance with the Design Guidelines set out in the Planning scheme policy – </w:t>
            </w:r>
            <w:r w:rsidRPr="00C17E97">
              <w:rPr>
                <w:rFonts w:asciiTheme="minorHAnsi" w:hAnsiTheme="minorHAnsi" w:cstheme="minorHAnsi"/>
                <w:sz w:val="20"/>
                <w:lang w:val="en-GB"/>
              </w:rPr>
              <w:lastRenderedPageBreak/>
              <w:t>FNQROC Regional Development Manual.</w:t>
            </w:r>
          </w:p>
        </w:tc>
        <w:tc>
          <w:tcPr>
            <w:cnfStyle w:val="000010000000" w:firstRow="0" w:lastRow="0" w:firstColumn="0" w:lastColumn="0" w:oddVBand="1" w:evenVBand="0" w:oddHBand="0" w:evenHBand="0" w:firstRowFirstColumn="0" w:firstRowLastColumn="0" w:lastRowFirstColumn="0" w:lastRowLastColumn="0"/>
            <w:tcW w:w="1666" w:type="pct"/>
          </w:tcPr>
          <w:p w:rsidR="00B546A2" w:rsidRPr="00C17E97" w:rsidRDefault="00B546A2" w:rsidP="00C17E97">
            <w:pPr>
              <w:pStyle w:val="TableText"/>
              <w:spacing w:before="0"/>
              <w:rPr>
                <w:rFonts w:asciiTheme="minorHAnsi" w:hAnsiTheme="minorHAnsi" w:cstheme="minorHAnsi"/>
                <w:b/>
                <w:spacing w:val="0"/>
                <w:sz w:val="20"/>
                <w:lang w:val="en-GB"/>
              </w:rPr>
            </w:pPr>
          </w:p>
        </w:tc>
      </w:tr>
    </w:tbl>
    <w:p w:rsidR="00144A67" w:rsidRPr="00B546A2" w:rsidRDefault="00144A67" w:rsidP="00B546A2">
      <w:pPr>
        <w:spacing w:after="0" w:line="240" w:lineRule="auto"/>
        <w:rPr>
          <w:rFonts w:eastAsia="Times New Roman"/>
        </w:rPr>
      </w:pPr>
    </w:p>
    <w:sectPr w:rsidR="00144A67" w:rsidRPr="00B546A2" w:rsidSect="00CD024B">
      <w:headerReference w:type="even" r:id="rId12"/>
      <w:headerReference w:type="default" r:id="rId13"/>
      <w:footerReference w:type="even" r:id="rId14"/>
      <w:footerReference w:type="default" r:id="rId15"/>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D9" w:rsidRDefault="004725D9">
      <w:pPr>
        <w:spacing w:after="0" w:line="240" w:lineRule="auto"/>
      </w:pPr>
      <w:r>
        <w:separator/>
      </w:r>
    </w:p>
  </w:endnote>
  <w:endnote w:type="continuationSeparator" w:id="0">
    <w:p w:rsidR="004725D9" w:rsidRDefault="0047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5D6FCB91" wp14:editId="24E168B9">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767B3C06" wp14:editId="70BAA292">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EF127E" w:rsidRDefault="00CD024B" w:rsidP="00CD024B">
            <w:pPr>
              <w:pStyle w:val="Footer"/>
              <w:jc w:val="right"/>
              <w:rPr>
                <w:color w:val="0064A7"/>
                <w:sz w:val="16"/>
                <w:szCs w:val="16"/>
              </w:rPr>
            </w:pPr>
            <w:r w:rsidRPr="00CD024B">
              <w:rPr>
                <w:color w:val="0064A7"/>
                <w:sz w:val="16"/>
                <w:szCs w:val="16"/>
              </w:rPr>
              <w:t xml:space="preserve">Code Compliance Table – </w:t>
            </w:r>
            <w:r w:rsidR="00B546A2" w:rsidRPr="00B546A2">
              <w:rPr>
                <w:color w:val="0064A7"/>
                <w:sz w:val="16"/>
                <w:szCs w:val="16"/>
              </w:rPr>
              <w:t>8.2.15</w:t>
            </w:r>
            <w:r w:rsidR="00B546A2">
              <w:rPr>
                <w:color w:val="0064A7"/>
                <w:sz w:val="16"/>
                <w:szCs w:val="16"/>
              </w:rPr>
              <w:t xml:space="preserve"> </w:t>
            </w:r>
            <w:r w:rsidR="00B546A2" w:rsidRPr="00B546A2">
              <w:rPr>
                <w:color w:val="0064A7"/>
                <w:sz w:val="16"/>
                <w:szCs w:val="16"/>
              </w:rPr>
              <w:tab/>
              <w:t>Transport network overlay code</w:t>
            </w:r>
            <w:r w:rsidRPr="00CD024B">
              <w:rPr>
                <w:color w:val="0064A7"/>
                <w:sz w:val="16"/>
                <w:szCs w:val="16"/>
              </w:rPr>
              <w:t xml:space="preserve">    </w:t>
            </w:r>
            <w:r w:rsidR="00B546A2">
              <w:rPr>
                <w:color w:val="0064A7"/>
                <w:sz w:val="16"/>
                <w:szCs w:val="16"/>
              </w:rPr>
              <w:t xml:space="preserve"> </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EF127E">
              <w:rPr>
                <w:color w:val="0064A7"/>
                <w:sz w:val="16"/>
                <w:szCs w:val="16"/>
              </w:rPr>
              <w:t xml:space="preserve">     CairnsPlan 2016 Version 2.</w:t>
            </w:r>
            <w:r w:rsidR="00664C54">
              <w:rPr>
                <w:color w:val="0064A7"/>
                <w:sz w:val="16"/>
                <w:szCs w:val="16"/>
              </w:rPr>
              <w:t>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664C54">
              <w:rPr>
                <w:noProof/>
                <w:color w:val="0064A7"/>
                <w:sz w:val="16"/>
                <w:szCs w:val="16"/>
              </w:rPr>
              <w:t>4</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664C54">
              <w:rPr>
                <w:noProof/>
                <w:color w:val="0064A7"/>
                <w:sz w:val="16"/>
                <w:szCs w:val="16"/>
              </w:rPr>
              <w:t>4</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D9" w:rsidRDefault="004725D9">
      <w:pPr>
        <w:spacing w:after="0" w:line="240" w:lineRule="auto"/>
      </w:pPr>
      <w:r>
        <w:separator/>
      </w:r>
    </w:p>
  </w:footnote>
  <w:footnote w:type="continuationSeparator" w:id="0">
    <w:p w:rsidR="004725D9" w:rsidRDefault="0047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71223BC5" wp14:editId="495BE555">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6579D5F4" wp14:editId="0E11D6F2">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B296D8C8"/>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5"/>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74E7"/>
    <w:rsid w:val="0002166A"/>
    <w:rsid w:val="00022155"/>
    <w:rsid w:val="000234F1"/>
    <w:rsid w:val="00023F2A"/>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2043B"/>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74C9"/>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B75"/>
    <w:rsid w:val="00220954"/>
    <w:rsid w:val="00222503"/>
    <w:rsid w:val="00226ED9"/>
    <w:rsid w:val="002303DC"/>
    <w:rsid w:val="0023134C"/>
    <w:rsid w:val="002313EE"/>
    <w:rsid w:val="002324F3"/>
    <w:rsid w:val="002347AD"/>
    <w:rsid w:val="0023693C"/>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2115"/>
    <w:rsid w:val="00323C6F"/>
    <w:rsid w:val="003251D8"/>
    <w:rsid w:val="00325CD9"/>
    <w:rsid w:val="003262A1"/>
    <w:rsid w:val="00327326"/>
    <w:rsid w:val="00327C58"/>
    <w:rsid w:val="0033039D"/>
    <w:rsid w:val="00330B56"/>
    <w:rsid w:val="00331F04"/>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C1C17"/>
    <w:rsid w:val="003C3F7F"/>
    <w:rsid w:val="003D2DDB"/>
    <w:rsid w:val="003D2EED"/>
    <w:rsid w:val="003D3451"/>
    <w:rsid w:val="003D3AC3"/>
    <w:rsid w:val="003D64AC"/>
    <w:rsid w:val="003D6BE0"/>
    <w:rsid w:val="003E0C84"/>
    <w:rsid w:val="003E1517"/>
    <w:rsid w:val="003E296A"/>
    <w:rsid w:val="003E5594"/>
    <w:rsid w:val="003F1CB1"/>
    <w:rsid w:val="003F5C21"/>
    <w:rsid w:val="004014AB"/>
    <w:rsid w:val="004018DF"/>
    <w:rsid w:val="0040343B"/>
    <w:rsid w:val="00406C5C"/>
    <w:rsid w:val="004072D9"/>
    <w:rsid w:val="00410642"/>
    <w:rsid w:val="0041082E"/>
    <w:rsid w:val="0041178B"/>
    <w:rsid w:val="00413185"/>
    <w:rsid w:val="004159A2"/>
    <w:rsid w:val="004203D8"/>
    <w:rsid w:val="004210AD"/>
    <w:rsid w:val="00423C47"/>
    <w:rsid w:val="00424038"/>
    <w:rsid w:val="00431ABF"/>
    <w:rsid w:val="00431B3F"/>
    <w:rsid w:val="004331E8"/>
    <w:rsid w:val="0043455E"/>
    <w:rsid w:val="00436047"/>
    <w:rsid w:val="00437677"/>
    <w:rsid w:val="0044528B"/>
    <w:rsid w:val="00445FAF"/>
    <w:rsid w:val="0045013C"/>
    <w:rsid w:val="00450B7A"/>
    <w:rsid w:val="0045493E"/>
    <w:rsid w:val="0045544E"/>
    <w:rsid w:val="00456322"/>
    <w:rsid w:val="00461269"/>
    <w:rsid w:val="004621F0"/>
    <w:rsid w:val="00462D25"/>
    <w:rsid w:val="0046326E"/>
    <w:rsid w:val="00466B32"/>
    <w:rsid w:val="00467FE0"/>
    <w:rsid w:val="004725D9"/>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569FE"/>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913E1"/>
    <w:rsid w:val="00591D21"/>
    <w:rsid w:val="005927E5"/>
    <w:rsid w:val="005949BE"/>
    <w:rsid w:val="00596D45"/>
    <w:rsid w:val="005A05C2"/>
    <w:rsid w:val="005A0F33"/>
    <w:rsid w:val="005A306F"/>
    <w:rsid w:val="005A4328"/>
    <w:rsid w:val="005A6EC2"/>
    <w:rsid w:val="005A77FA"/>
    <w:rsid w:val="005B2418"/>
    <w:rsid w:val="005B4BCF"/>
    <w:rsid w:val="005C0DEE"/>
    <w:rsid w:val="005C0F6A"/>
    <w:rsid w:val="005D2C3E"/>
    <w:rsid w:val="005D4599"/>
    <w:rsid w:val="005D6D0D"/>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4F65"/>
    <w:rsid w:val="0064099F"/>
    <w:rsid w:val="00641AF3"/>
    <w:rsid w:val="0064347E"/>
    <w:rsid w:val="00643F23"/>
    <w:rsid w:val="00644A8D"/>
    <w:rsid w:val="00646C58"/>
    <w:rsid w:val="00654667"/>
    <w:rsid w:val="00655E46"/>
    <w:rsid w:val="00656C10"/>
    <w:rsid w:val="00656CE0"/>
    <w:rsid w:val="0066184B"/>
    <w:rsid w:val="0066321B"/>
    <w:rsid w:val="006634B8"/>
    <w:rsid w:val="00664242"/>
    <w:rsid w:val="006646ED"/>
    <w:rsid w:val="00664C54"/>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F86"/>
    <w:rsid w:val="008B7990"/>
    <w:rsid w:val="008B79D4"/>
    <w:rsid w:val="008C1625"/>
    <w:rsid w:val="008C59BF"/>
    <w:rsid w:val="008C5DFF"/>
    <w:rsid w:val="008C6632"/>
    <w:rsid w:val="008D2152"/>
    <w:rsid w:val="008D2C90"/>
    <w:rsid w:val="008D4BA8"/>
    <w:rsid w:val="008D640C"/>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51D6"/>
    <w:rsid w:val="009D54A9"/>
    <w:rsid w:val="009D602E"/>
    <w:rsid w:val="009D7AA0"/>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5255"/>
    <w:rsid w:val="00AC1C7E"/>
    <w:rsid w:val="00AC1E08"/>
    <w:rsid w:val="00AD351F"/>
    <w:rsid w:val="00AD49C4"/>
    <w:rsid w:val="00AE2F5F"/>
    <w:rsid w:val="00AE55F3"/>
    <w:rsid w:val="00AE7070"/>
    <w:rsid w:val="00AF13EC"/>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0EF"/>
    <w:rsid w:val="00B35FB7"/>
    <w:rsid w:val="00B40B55"/>
    <w:rsid w:val="00B41224"/>
    <w:rsid w:val="00B42371"/>
    <w:rsid w:val="00B46792"/>
    <w:rsid w:val="00B472C2"/>
    <w:rsid w:val="00B5001F"/>
    <w:rsid w:val="00B510BA"/>
    <w:rsid w:val="00B546A2"/>
    <w:rsid w:val="00B604CC"/>
    <w:rsid w:val="00B62BA6"/>
    <w:rsid w:val="00B640E7"/>
    <w:rsid w:val="00B6494F"/>
    <w:rsid w:val="00B675F1"/>
    <w:rsid w:val="00B703D5"/>
    <w:rsid w:val="00B73DD9"/>
    <w:rsid w:val="00B74F41"/>
    <w:rsid w:val="00B775BA"/>
    <w:rsid w:val="00B80AAE"/>
    <w:rsid w:val="00B8408C"/>
    <w:rsid w:val="00B8536F"/>
    <w:rsid w:val="00B86BEF"/>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398"/>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3291"/>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127E"/>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1EC0F"/>
  <w15:docId w15:val="{E9DD102D-3B4B-44A5-9AE4-20FDB48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D7D231-0E8A-4B4B-AA06-73BAF0FF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2016-02-22T02:06:00Z</cp:lastPrinted>
  <dcterms:created xsi:type="dcterms:W3CDTF">2016-02-25T23:37:00Z</dcterms:created>
  <dcterms:modified xsi:type="dcterms:W3CDTF">2019-10-31T23:21:00Z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